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CDECA" w14:textId="62EC7754" w:rsidR="003E1A65" w:rsidRPr="00DE4417" w:rsidRDefault="003E1A65" w:rsidP="003E1A65">
      <w:pPr>
        <w:tabs>
          <w:tab w:val="center" w:pos="4153"/>
          <w:tab w:val="right" w:pos="9923"/>
        </w:tabs>
        <w:spacing w:after="120" w:line="240" w:lineRule="auto"/>
        <w:jc w:val="both"/>
        <w:rPr>
          <w:rFonts w:eastAsia="Malgun Gothic"/>
          <w:b/>
          <w:bCs/>
          <w:sz w:val="28"/>
          <w:lang w:val="en-GB" w:eastAsia="ko-KR"/>
        </w:rPr>
      </w:pPr>
      <w:r w:rsidRPr="00DE4417">
        <w:rPr>
          <w:rFonts w:eastAsia="Malgun Gothic"/>
          <w:b/>
          <w:bCs/>
          <w:sz w:val="28"/>
          <w:lang w:val="en-GB"/>
        </w:rPr>
        <w:t>3GPP TSG RAN WG</w:t>
      </w:r>
      <w:r w:rsidR="003D16A8">
        <w:rPr>
          <w:rFonts w:eastAsia="Malgun Gothic"/>
          <w:b/>
          <w:bCs/>
          <w:sz w:val="28"/>
          <w:lang w:val="en-GB"/>
        </w:rPr>
        <w:t xml:space="preserve"> </w:t>
      </w:r>
      <w:r w:rsidRPr="00DE4417">
        <w:rPr>
          <w:rFonts w:eastAsia="Malgun Gothic"/>
          <w:b/>
          <w:bCs/>
          <w:sz w:val="28"/>
          <w:lang w:val="en-GB"/>
        </w:rPr>
        <w:t>4 Meeting #</w:t>
      </w:r>
      <w:r w:rsidR="00824BF1">
        <w:rPr>
          <w:rFonts w:eastAsia="Malgun Gothic"/>
          <w:b/>
          <w:bCs/>
          <w:sz w:val="28"/>
          <w:lang w:val="en-GB"/>
        </w:rPr>
        <w:t>88</w:t>
      </w:r>
      <w:r w:rsidRPr="00DE4417">
        <w:rPr>
          <w:rFonts w:eastAsia="Malgun Gothic"/>
          <w:b/>
          <w:bCs/>
          <w:sz w:val="28"/>
          <w:lang w:val="en-GB" w:eastAsia="ko-KR"/>
        </w:rPr>
        <w:tab/>
      </w:r>
      <w:r w:rsidR="0017632C">
        <w:rPr>
          <w:rFonts w:eastAsia="Malgun Gothic"/>
          <w:b/>
          <w:bCs/>
          <w:sz w:val="28"/>
          <w:lang w:val="en-GB"/>
        </w:rPr>
        <w:t>R4-1810867</w:t>
      </w:r>
      <w:bookmarkStart w:id="0" w:name="_GoBack"/>
      <w:bookmarkEnd w:id="0"/>
    </w:p>
    <w:p w14:paraId="50CBE1C5" w14:textId="1D8F28BF" w:rsidR="003E1A65" w:rsidRPr="00DE4417" w:rsidRDefault="00824BF1" w:rsidP="003E1A65">
      <w:pPr>
        <w:pBdr>
          <w:bottom w:val="single" w:sz="6"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lang w:val="en-GB" w:eastAsia="ko-KR"/>
        </w:rPr>
        <w:t>Gothenburg</w:t>
      </w:r>
      <w:r w:rsidR="003E1A65" w:rsidRPr="00DE4417">
        <w:rPr>
          <w:rFonts w:eastAsia="Malgun Gothic"/>
          <w:b/>
          <w:bCs/>
          <w:sz w:val="28"/>
          <w:lang w:val="en-GB" w:eastAsia="ko-KR"/>
        </w:rPr>
        <w:t xml:space="preserve">, </w:t>
      </w:r>
      <w:r w:rsidR="00B32A3F">
        <w:rPr>
          <w:rFonts w:eastAsia="Malgun Gothic"/>
          <w:b/>
          <w:bCs/>
          <w:sz w:val="28"/>
          <w:lang w:val="en-GB" w:eastAsia="ko-KR"/>
        </w:rPr>
        <w:t>S</w:t>
      </w:r>
      <w:r>
        <w:rPr>
          <w:rFonts w:eastAsia="Malgun Gothic"/>
          <w:b/>
          <w:bCs/>
          <w:sz w:val="28"/>
          <w:lang w:val="en-GB" w:eastAsia="ko-KR"/>
        </w:rPr>
        <w:t>weden</w:t>
      </w:r>
      <w:r w:rsidR="003E1A65" w:rsidRPr="00DE4417">
        <w:rPr>
          <w:rFonts w:eastAsia="Malgun Gothic"/>
          <w:b/>
          <w:bCs/>
          <w:sz w:val="28"/>
          <w:lang w:val="en-GB" w:eastAsia="ko-KR"/>
        </w:rPr>
        <w:t xml:space="preserve">, </w:t>
      </w:r>
      <w:r>
        <w:rPr>
          <w:rFonts w:eastAsia="Malgun Gothic"/>
          <w:b/>
          <w:bCs/>
          <w:sz w:val="28"/>
          <w:lang w:val="en-GB" w:eastAsia="ko-KR"/>
        </w:rPr>
        <w:t>20 – 24</w:t>
      </w:r>
      <w:r w:rsidR="00FC5279">
        <w:rPr>
          <w:rFonts w:eastAsia="Malgun Gothic"/>
          <w:b/>
          <w:bCs/>
          <w:sz w:val="28"/>
          <w:lang w:val="en-GB" w:eastAsia="ko-KR"/>
        </w:rPr>
        <w:t xml:space="preserve"> </w:t>
      </w:r>
      <w:r>
        <w:rPr>
          <w:rFonts w:eastAsia="Malgun Gothic"/>
          <w:b/>
          <w:bCs/>
          <w:sz w:val="28"/>
          <w:lang w:val="en-GB" w:eastAsia="ko-KR"/>
        </w:rPr>
        <w:t>August</w:t>
      </w:r>
      <w:r w:rsidR="003E1A65" w:rsidRPr="00DE4417">
        <w:rPr>
          <w:rFonts w:eastAsia="Malgun Gothic"/>
          <w:b/>
          <w:bCs/>
          <w:sz w:val="28"/>
          <w:lang w:val="en-GB" w:eastAsia="ko-KR"/>
        </w:rPr>
        <w:t xml:space="preserve"> 2018</w:t>
      </w:r>
    </w:p>
    <w:p w14:paraId="38A11C1B" w14:textId="4366E99C" w:rsidR="003E1A65" w:rsidRPr="00DE4417" w:rsidRDefault="003E1A65" w:rsidP="003E1A65">
      <w:pPr>
        <w:rPr>
          <w:bCs/>
          <w:lang w:val="en-GB"/>
        </w:rPr>
      </w:pPr>
      <w:r w:rsidRPr="00DE4417">
        <w:rPr>
          <w:b/>
          <w:lang w:val="en-GB"/>
        </w:rPr>
        <w:t>Source:</w:t>
      </w:r>
      <w:r w:rsidRPr="00DE4417">
        <w:rPr>
          <w:b/>
          <w:lang w:val="en-GB"/>
        </w:rPr>
        <w:tab/>
      </w:r>
      <w:r w:rsidRPr="00DE4417">
        <w:rPr>
          <w:b/>
          <w:lang w:val="en-GB"/>
        </w:rPr>
        <w:tab/>
      </w:r>
      <w:r w:rsidR="00DB29DE">
        <w:rPr>
          <w:lang w:val="en-GB"/>
        </w:rPr>
        <w:t>Rohde</w:t>
      </w:r>
      <w:r w:rsidR="00CA42E6">
        <w:rPr>
          <w:lang w:val="en-GB"/>
        </w:rPr>
        <w:t xml:space="preserve"> </w:t>
      </w:r>
      <w:r w:rsidR="00DB29DE">
        <w:rPr>
          <w:lang w:val="en-GB"/>
        </w:rPr>
        <w:t>&amp;</w:t>
      </w:r>
      <w:r w:rsidR="00CA42E6">
        <w:rPr>
          <w:lang w:val="en-GB"/>
        </w:rPr>
        <w:t xml:space="preserve"> </w:t>
      </w:r>
      <w:r w:rsidRPr="00DE4417">
        <w:rPr>
          <w:lang w:val="en-GB"/>
        </w:rPr>
        <w:t>Schwarz</w:t>
      </w:r>
    </w:p>
    <w:p w14:paraId="422DE63C" w14:textId="2C99623A" w:rsidR="00B81FC7" w:rsidRPr="00DE4417" w:rsidRDefault="00B81FC7" w:rsidP="008159B1">
      <w:pPr>
        <w:ind w:left="2160" w:hanging="2160"/>
        <w:rPr>
          <w:b/>
          <w:lang w:val="en-GB"/>
        </w:rPr>
      </w:pPr>
      <w:r w:rsidRPr="00DE4417">
        <w:rPr>
          <w:b/>
          <w:lang w:val="en-GB"/>
        </w:rPr>
        <w:t>Title:</w:t>
      </w:r>
      <w:r w:rsidRPr="00DE4417">
        <w:rPr>
          <w:b/>
          <w:lang w:val="en-GB"/>
        </w:rPr>
        <w:tab/>
      </w:r>
      <w:r w:rsidR="006F178B">
        <w:rPr>
          <w:lang w:val="en-GB"/>
        </w:rPr>
        <w:t xml:space="preserve">Discussion on FR1 to </w:t>
      </w:r>
      <w:r w:rsidR="00824BF1">
        <w:rPr>
          <w:lang w:val="en-GB"/>
        </w:rPr>
        <w:t>FR2 UE coexistence requirements</w:t>
      </w:r>
    </w:p>
    <w:p w14:paraId="75E65FB7" w14:textId="562E5DB2" w:rsidR="00B81FC7" w:rsidRPr="00DE4417" w:rsidRDefault="00B81FC7" w:rsidP="00B81FC7">
      <w:pPr>
        <w:rPr>
          <w:bCs/>
          <w:lang w:val="en-GB" w:eastAsia="ja-JP"/>
        </w:rPr>
      </w:pPr>
      <w:r w:rsidRPr="00DE4417">
        <w:rPr>
          <w:b/>
          <w:lang w:val="en-GB"/>
        </w:rPr>
        <w:t>Agenda Item:</w:t>
      </w:r>
      <w:r w:rsidRPr="00DE4417">
        <w:rPr>
          <w:lang w:val="en-GB"/>
        </w:rPr>
        <w:tab/>
      </w:r>
      <w:r w:rsidR="00CC6B35" w:rsidRPr="00DE4417">
        <w:rPr>
          <w:lang w:val="en-GB"/>
        </w:rPr>
        <w:tab/>
      </w:r>
      <w:r w:rsidR="00DB25F8">
        <w:rPr>
          <w:lang w:val="en-GB"/>
        </w:rPr>
        <w:t>7.6.11.6</w:t>
      </w:r>
    </w:p>
    <w:p w14:paraId="21F2DA1B" w14:textId="34F9588F" w:rsidR="00B81FC7" w:rsidRPr="00DE4417" w:rsidRDefault="00B81FC7" w:rsidP="00B81FC7">
      <w:pPr>
        <w:rPr>
          <w:sz w:val="18"/>
          <w:szCs w:val="18"/>
          <w:lang w:val="en-GB"/>
        </w:rPr>
      </w:pPr>
      <w:r w:rsidRPr="00DE4417">
        <w:rPr>
          <w:b/>
          <w:lang w:val="en-GB"/>
        </w:rPr>
        <w:t>Document for:</w:t>
      </w:r>
      <w:r w:rsidRPr="00DE4417">
        <w:rPr>
          <w:lang w:val="en-GB"/>
        </w:rPr>
        <w:tab/>
      </w:r>
      <w:r w:rsidR="00824BF1">
        <w:rPr>
          <w:lang w:val="en-GB"/>
        </w:rPr>
        <w:t>Approval</w:t>
      </w:r>
    </w:p>
    <w:p w14:paraId="7CA60390" w14:textId="6E8A422D" w:rsidR="00B81FC7" w:rsidRDefault="00B81FC7" w:rsidP="00B81FC7">
      <w:pPr>
        <w:pStyle w:val="berschrift1"/>
        <w:rPr>
          <w:rFonts w:cs="Arial"/>
        </w:rPr>
      </w:pPr>
      <w:r w:rsidRPr="00DE4417">
        <w:rPr>
          <w:rFonts w:cs="Arial"/>
        </w:rPr>
        <w:t>Introduction</w:t>
      </w:r>
    </w:p>
    <w:p w14:paraId="4919A8F7" w14:textId="49B6BB47" w:rsidR="00196262" w:rsidRPr="00196262" w:rsidRDefault="00492DC5" w:rsidP="00196262">
      <w:pPr>
        <w:rPr>
          <w:lang w:val="en-GB" w:eastAsia="en-US"/>
        </w:rPr>
      </w:pPr>
      <w:r>
        <w:rPr>
          <w:lang w:val="en-GB" w:eastAsia="en-US"/>
        </w:rPr>
        <w:t>In the latest version of the specification a UE coexistence requirement from FR1 to FR2 bands has been introduced. This procedure poses significant challenges on the test system since even higher frequency bands are under discussion and the requirement may have a negative impact on other requirements as well.</w:t>
      </w:r>
    </w:p>
    <w:p w14:paraId="59D92B3E" w14:textId="64196180" w:rsidR="00FC45FA" w:rsidRDefault="002A659B" w:rsidP="00FC45FA">
      <w:pPr>
        <w:pStyle w:val="berschrift1"/>
        <w:rPr>
          <w:rFonts w:cs="Arial"/>
        </w:rPr>
      </w:pPr>
      <w:bookmarkStart w:id="1" w:name="OLE_LINK10"/>
      <w:bookmarkStart w:id="2" w:name="OLE_LINK11"/>
      <w:r w:rsidRPr="00DE4417">
        <w:rPr>
          <w:rFonts w:cs="Arial"/>
        </w:rPr>
        <w:t>Discussion</w:t>
      </w:r>
    </w:p>
    <w:p w14:paraId="3CBE6961" w14:textId="15A83C7E" w:rsidR="003D16A8" w:rsidRDefault="003D16A8" w:rsidP="003D16A8">
      <w:pPr>
        <w:pStyle w:val="berschrift2"/>
        <w:rPr>
          <w:lang w:val="en-US"/>
        </w:rPr>
      </w:pPr>
      <w:r w:rsidRPr="00AE068E">
        <w:rPr>
          <w:lang w:val="en-US"/>
        </w:rPr>
        <w:t xml:space="preserve"> General</w:t>
      </w:r>
    </w:p>
    <w:p w14:paraId="72256CDC" w14:textId="58981716" w:rsidR="006F178B" w:rsidRDefault="006F178B" w:rsidP="006F178B">
      <w:pPr>
        <w:rPr>
          <w:lang w:eastAsia="en-US"/>
        </w:rPr>
      </w:pPr>
      <w:r>
        <w:rPr>
          <w:lang w:eastAsia="en-US"/>
        </w:rPr>
        <w:t xml:space="preserve">During the last meeting new requirements for UE co-existence spurious emissions were introduced. Specifically requirements for bands n77, n78 and n79 </w:t>
      </w:r>
      <w:r w:rsidR="00F25CC5">
        <w:rPr>
          <w:lang w:eastAsia="en-US"/>
        </w:rPr>
        <w:t>are</w:t>
      </w:r>
      <w:r>
        <w:rPr>
          <w:lang w:eastAsia="en-US"/>
        </w:rPr>
        <w:t xml:space="preserve"> added to the specification, which include co-existence requirements with band n257.</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C37D91" w:rsidRPr="00611CC4" w14:paraId="70F805E6" w14:textId="77777777" w:rsidTr="00D94F7C">
        <w:trPr>
          <w:trHeight w:val="225"/>
          <w:jc w:val="center"/>
        </w:trPr>
        <w:tc>
          <w:tcPr>
            <w:tcW w:w="959" w:type="dxa"/>
            <w:vMerge w:val="restart"/>
            <w:vAlign w:val="center"/>
          </w:tcPr>
          <w:p w14:paraId="292D1E79" w14:textId="77DF9DF8" w:rsidR="00C37D91" w:rsidRPr="00C37D91" w:rsidRDefault="00C37D91" w:rsidP="00C37D91">
            <w:pPr>
              <w:pStyle w:val="TAC"/>
              <w:rPr>
                <w:b/>
                <w:lang w:val="fi-FI"/>
              </w:rPr>
            </w:pPr>
            <w:r w:rsidRPr="00C37D91">
              <w:rPr>
                <w:b/>
                <w:lang w:val="fi-FI"/>
              </w:rPr>
              <w:t>NR</w:t>
            </w:r>
            <w:r w:rsidRPr="00C37D91">
              <w:rPr>
                <w:b/>
              </w:rPr>
              <w:t xml:space="preserve"> Band</w:t>
            </w:r>
          </w:p>
        </w:tc>
        <w:tc>
          <w:tcPr>
            <w:tcW w:w="7981" w:type="dxa"/>
            <w:gridSpan w:val="7"/>
          </w:tcPr>
          <w:p w14:paraId="5C101B66" w14:textId="21A78EDD" w:rsidR="00C37D91" w:rsidRPr="00C37D91" w:rsidRDefault="00C37D91" w:rsidP="00C37D91">
            <w:pPr>
              <w:pStyle w:val="TAC"/>
              <w:rPr>
                <w:b/>
              </w:rPr>
            </w:pPr>
            <w:r w:rsidRPr="00C37D91">
              <w:rPr>
                <w:b/>
              </w:rPr>
              <w:t>Spurious emission for UE co-existence</w:t>
            </w:r>
          </w:p>
        </w:tc>
      </w:tr>
      <w:tr w:rsidR="00C37D91" w:rsidRPr="00611CC4" w14:paraId="5AE24866" w14:textId="77777777" w:rsidTr="00527E78">
        <w:trPr>
          <w:trHeight w:val="225"/>
          <w:jc w:val="center"/>
        </w:trPr>
        <w:tc>
          <w:tcPr>
            <w:tcW w:w="959" w:type="dxa"/>
            <w:vMerge/>
            <w:vAlign w:val="center"/>
          </w:tcPr>
          <w:p w14:paraId="588F3BD0" w14:textId="7E1B4980" w:rsidR="00C37D91" w:rsidRPr="00C37D91" w:rsidRDefault="00C37D91" w:rsidP="00C37D91">
            <w:pPr>
              <w:pStyle w:val="TAC"/>
              <w:rPr>
                <w:b/>
              </w:rPr>
            </w:pPr>
          </w:p>
        </w:tc>
        <w:tc>
          <w:tcPr>
            <w:tcW w:w="2831" w:type="dxa"/>
          </w:tcPr>
          <w:p w14:paraId="09F68377" w14:textId="44D8C0EA" w:rsidR="00C37D91" w:rsidRPr="00C37D91" w:rsidRDefault="00C37D91" w:rsidP="00C37D91">
            <w:pPr>
              <w:pStyle w:val="TAC"/>
              <w:rPr>
                <w:b/>
                <w:lang w:val="de-DE"/>
              </w:rPr>
            </w:pPr>
            <w:r w:rsidRPr="00C37D91">
              <w:rPr>
                <w:b/>
              </w:rPr>
              <w:t>Protected band</w:t>
            </w:r>
          </w:p>
        </w:tc>
        <w:tc>
          <w:tcPr>
            <w:tcW w:w="2239" w:type="dxa"/>
            <w:gridSpan w:val="3"/>
          </w:tcPr>
          <w:p w14:paraId="6EBDF25E" w14:textId="4A6DB9C2" w:rsidR="00C37D91" w:rsidRPr="00C37D91" w:rsidRDefault="00C37D91" w:rsidP="00C37D91">
            <w:pPr>
              <w:pStyle w:val="TAC"/>
              <w:rPr>
                <w:rStyle w:val="TALCar"/>
                <w:b/>
              </w:rPr>
            </w:pPr>
            <w:r w:rsidRPr="00C37D91">
              <w:rPr>
                <w:b/>
              </w:rPr>
              <w:t>Frequency range (MHz)</w:t>
            </w:r>
          </w:p>
        </w:tc>
        <w:tc>
          <w:tcPr>
            <w:tcW w:w="1133" w:type="dxa"/>
          </w:tcPr>
          <w:p w14:paraId="0807E0F6" w14:textId="6E7C1EC4" w:rsidR="00C37D91" w:rsidRPr="00C37D91" w:rsidRDefault="00C37D91" w:rsidP="00C37D91">
            <w:pPr>
              <w:pStyle w:val="TAC"/>
              <w:rPr>
                <w:b/>
              </w:rPr>
            </w:pPr>
            <w:r w:rsidRPr="00C37D91">
              <w:rPr>
                <w:b/>
              </w:rPr>
              <w:t>Maximum Level (dBm)</w:t>
            </w:r>
          </w:p>
        </w:tc>
        <w:tc>
          <w:tcPr>
            <w:tcW w:w="850" w:type="dxa"/>
            <w:noWrap/>
          </w:tcPr>
          <w:p w14:paraId="314DE48E" w14:textId="2AB5367F" w:rsidR="00C37D91" w:rsidRPr="00C37D91" w:rsidRDefault="00C37D91" w:rsidP="00C37D91">
            <w:pPr>
              <w:pStyle w:val="TAC"/>
              <w:rPr>
                <w:b/>
              </w:rPr>
            </w:pPr>
            <w:r w:rsidRPr="00C37D91">
              <w:rPr>
                <w:b/>
              </w:rPr>
              <w:t>MBW (MHz)</w:t>
            </w:r>
          </w:p>
        </w:tc>
        <w:tc>
          <w:tcPr>
            <w:tcW w:w="928" w:type="dxa"/>
            <w:noWrap/>
          </w:tcPr>
          <w:p w14:paraId="1445F55A" w14:textId="04F87231" w:rsidR="00C37D91" w:rsidRPr="00C37D91" w:rsidRDefault="00C37D91" w:rsidP="00C37D91">
            <w:pPr>
              <w:pStyle w:val="TAC"/>
              <w:rPr>
                <w:b/>
              </w:rPr>
            </w:pPr>
            <w:r w:rsidRPr="00C37D91">
              <w:rPr>
                <w:b/>
              </w:rPr>
              <w:t>NOTE</w:t>
            </w:r>
          </w:p>
        </w:tc>
      </w:tr>
      <w:tr w:rsidR="006F178B" w:rsidRPr="00611CC4" w14:paraId="3EEC828B" w14:textId="77777777" w:rsidTr="00D011FC">
        <w:trPr>
          <w:trHeight w:val="225"/>
          <w:jc w:val="center"/>
        </w:trPr>
        <w:tc>
          <w:tcPr>
            <w:tcW w:w="959" w:type="dxa"/>
            <w:vMerge w:val="restart"/>
          </w:tcPr>
          <w:p w14:paraId="479D01C1" w14:textId="77777777" w:rsidR="006F178B" w:rsidRPr="00611CC4" w:rsidRDefault="006F178B" w:rsidP="00D011FC">
            <w:pPr>
              <w:pStyle w:val="TAC"/>
            </w:pPr>
            <w:r w:rsidRPr="00611CC4">
              <w:t>n77, n78</w:t>
            </w:r>
          </w:p>
        </w:tc>
        <w:tc>
          <w:tcPr>
            <w:tcW w:w="2831" w:type="dxa"/>
          </w:tcPr>
          <w:p w14:paraId="6D5923B3" w14:textId="4DD4DD49" w:rsidR="006F178B" w:rsidRPr="00611CC4" w:rsidRDefault="006F178B" w:rsidP="00B745CC">
            <w:pPr>
              <w:pStyle w:val="TAC"/>
            </w:pPr>
            <w:r w:rsidRPr="00611CC4">
              <w:t>E-UTRA Band 1, 3, 5, 7, 8, 11, 18, 19, 20, 21, 26, 28, 34, 39, 40, 41,  65</w:t>
            </w:r>
          </w:p>
        </w:tc>
        <w:tc>
          <w:tcPr>
            <w:tcW w:w="810" w:type="dxa"/>
          </w:tcPr>
          <w:p w14:paraId="0FBB7B06" w14:textId="77777777" w:rsidR="006F178B" w:rsidRPr="00611CC4" w:rsidRDefault="006F178B" w:rsidP="00D011FC">
            <w:pPr>
              <w:pStyle w:val="TAC"/>
            </w:pPr>
            <w:r w:rsidRPr="00611CC4">
              <w:t>F</w:t>
            </w:r>
            <w:r w:rsidRPr="00611CC4">
              <w:rPr>
                <w:vertAlign w:val="subscript"/>
              </w:rPr>
              <w:t>DL_low</w:t>
            </w:r>
            <w:r w:rsidRPr="00611CC4">
              <w:t xml:space="preserve"> </w:t>
            </w:r>
          </w:p>
        </w:tc>
        <w:tc>
          <w:tcPr>
            <w:tcW w:w="540" w:type="dxa"/>
          </w:tcPr>
          <w:p w14:paraId="266B455C" w14:textId="77777777" w:rsidR="006F178B" w:rsidRPr="00611CC4" w:rsidRDefault="006F178B" w:rsidP="00D011FC">
            <w:pPr>
              <w:pStyle w:val="TAC"/>
            </w:pPr>
            <w:r w:rsidRPr="00611CC4">
              <w:t>-</w:t>
            </w:r>
          </w:p>
        </w:tc>
        <w:tc>
          <w:tcPr>
            <w:tcW w:w="889" w:type="dxa"/>
          </w:tcPr>
          <w:p w14:paraId="7C50AC64" w14:textId="77777777" w:rsidR="006F178B" w:rsidRPr="00611CC4" w:rsidRDefault="006F178B" w:rsidP="00D011FC">
            <w:pPr>
              <w:pStyle w:val="TAC"/>
            </w:pPr>
            <w:r w:rsidRPr="00611CC4">
              <w:rPr>
                <w:rStyle w:val="TALCar"/>
              </w:rPr>
              <w:t>F</w:t>
            </w:r>
            <w:r w:rsidRPr="00611CC4">
              <w:rPr>
                <w:rStyle w:val="TALCar"/>
                <w:vertAlign w:val="subscript"/>
              </w:rPr>
              <w:t>DL_high</w:t>
            </w:r>
          </w:p>
        </w:tc>
        <w:tc>
          <w:tcPr>
            <w:tcW w:w="1133" w:type="dxa"/>
          </w:tcPr>
          <w:p w14:paraId="3DF26D97" w14:textId="77777777" w:rsidR="006F178B" w:rsidRPr="00611CC4" w:rsidRDefault="006F178B" w:rsidP="00D011FC">
            <w:pPr>
              <w:pStyle w:val="TAC"/>
            </w:pPr>
            <w:r w:rsidRPr="00611CC4">
              <w:t>-50</w:t>
            </w:r>
          </w:p>
        </w:tc>
        <w:tc>
          <w:tcPr>
            <w:tcW w:w="850" w:type="dxa"/>
            <w:noWrap/>
          </w:tcPr>
          <w:p w14:paraId="18631E0A" w14:textId="77777777" w:rsidR="006F178B" w:rsidRPr="00611CC4" w:rsidRDefault="006F178B" w:rsidP="00D011FC">
            <w:pPr>
              <w:pStyle w:val="TAC"/>
            </w:pPr>
            <w:r w:rsidRPr="00611CC4">
              <w:t>1</w:t>
            </w:r>
          </w:p>
        </w:tc>
        <w:tc>
          <w:tcPr>
            <w:tcW w:w="928" w:type="dxa"/>
            <w:noWrap/>
          </w:tcPr>
          <w:p w14:paraId="2D84137E" w14:textId="77777777" w:rsidR="006F178B" w:rsidRPr="00611CC4" w:rsidRDefault="006F178B" w:rsidP="00D011FC">
            <w:pPr>
              <w:pStyle w:val="TAC"/>
            </w:pPr>
          </w:p>
        </w:tc>
      </w:tr>
      <w:tr w:rsidR="006F178B" w:rsidRPr="00611CC4" w14:paraId="62D4B857" w14:textId="77777777" w:rsidTr="00D011FC">
        <w:trPr>
          <w:trHeight w:val="225"/>
          <w:jc w:val="center"/>
        </w:trPr>
        <w:tc>
          <w:tcPr>
            <w:tcW w:w="959" w:type="dxa"/>
            <w:vMerge/>
          </w:tcPr>
          <w:p w14:paraId="1258EA10" w14:textId="77777777" w:rsidR="006F178B" w:rsidRPr="00611CC4" w:rsidRDefault="006F178B" w:rsidP="00D011FC">
            <w:pPr>
              <w:pStyle w:val="TAC"/>
            </w:pPr>
          </w:p>
        </w:tc>
        <w:tc>
          <w:tcPr>
            <w:tcW w:w="2831" w:type="dxa"/>
          </w:tcPr>
          <w:p w14:paraId="781819F0" w14:textId="77777777" w:rsidR="006F178B" w:rsidRPr="00611CC4" w:rsidRDefault="006F178B" w:rsidP="00D011FC">
            <w:pPr>
              <w:pStyle w:val="TAC"/>
            </w:pPr>
            <w:r w:rsidRPr="00611CC4">
              <w:t>Frequency range</w:t>
            </w:r>
          </w:p>
        </w:tc>
        <w:tc>
          <w:tcPr>
            <w:tcW w:w="810" w:type="dxa"/>
          </w:tcPr>
          <w:p w14:paraId="4FA7F9E2" w14:textId="77777777" w:rsidR="006F178B" w:rsidRPr="00611CC4" w:rsidRDefault="006F178B" w:rsidP="00D011FC">
            <w:pPr>
              <w:pStyle w:val="TAC"/>
            </w:pPr>
            <w:r w:rsidRPr="00611CC4">
              <w:t>1884.5</w:t>
            </w:r>
          </w:p>
        </w:tc>
        <w:tc>
          <w:tcPr>
            <w:tcW w:w="540" w:type="dxa"/>
          </w:tcPr>
          <w:p w14:paraId="7A2A29F1" w14:textId="77777777" w:rsidR="006F178B" w:rsidRPr="00611CC4" w:rsidRDefault="006F178B" w:rsidP="00D011FC">
            <w:pPr>
              <w:pStyle w:val="TAC"/>
            </w:pPr>
            <w:r w:rsidRPr="00611CC4">
              <w:t>-</w:t>
            </w:r>
          </w:p>
        </w:tc>
        <w:tc>
          <w:tcPr>
            <w:tcW w:w="889" w:type="dxa"/>
          </w:tcPr>
          <w:p w14:paraId="3E97F065" w14:textId="77777777" w:rsidR="006F178B" w:rsidRPr="00611CC4" w:rsidRDefault="006F178B" w:rsidP="00D011FC">
            <w:pPr>
              <w:pStyle w:val="TAC"/>
            </w:pPr>
            <w:r w:rsidRPr="00611CC4">
              <w:t>1915.7</w:t>
            </w:r>
          </w:p>
        </w:tc>
        <w:tc>
          <w:tcPr>
            <w:tcW w:w="1133" w:type="dxa"/>
          </w:tcPr>
          <w:p w14:paraId="65EE379E" w14:textId="77777777" w:rsidR="006F178B" w:rsidRPr="00611CC4" w:rsidRDefault="006F178B" w:rsidP="00D011FC">
            <w:pPr>
              <w:pStyle w:val="TAC"/>
            </w:pPr>
            <w:r w:rsidRPr="00611CC4">
              <w:t>-41</w:t>
            </w:r>
          </w:p>
        </w:tc>
        <w:tc>
          <w:tcPr>
            <w:tcW w:w="850" w:type="dxa"/>
            <w:noWrap/>
          </w:tcPr>
          <w:p w14:paraId="7ED89BEF" w14:textId="77777777" w:rsidR="006F178B" w:rsidRPr="00611CC4" w:rsidRDefault="006F178B" w:rsidP="00D011FC">
            <w:pPr>
              <w:pStyle w:val="TAC"/>
            </w:pPr>
            <w:r w:rsidRPr="00611CC4">
              <w:t>0.3</w:t>
            </w:r>
          </w:p>
        </w:tc>
        <w:tc>
          <w:tcPr>
            <w:tcW w:w="928" w:type="dxa"/>
            <w:noWrap/>
          </w:tcPr>
          <w:p w14:paraId="56E32379" w14:textId="77777777" w:rsidR="006F178B" w:rsidRPr="00611CC4" w:rsidRDefault="006F178B" w:rsidP="00D011FC">
            <w:pPr>
              <w:pStyle w:val="TAC"/>
            </w:pPr>
            <w:r w:rsidRPr="00611CC4">
              <w:t>8</w:t>
            </w:r>
          </w:p>
        </w:tc>
      </w:tr>
      <w:tr w:rsidR="006F178B" w:rsidRPr="00611CC4" w14:paraId="4B6FDD77" w14:textId="77777777" w:rsidTr="00D011FC">
        <w:trPr>
          <w:trHeight w:val="225"/>
          <w:jc w:val="center"/>
        </w:trPr>
        <w:tc>
          <w:tcPr>
            <w:tcW w:w="959" w:type="dxa"/>
            <w:vMerge/>
          </w:tcPr>
          <w:p w14:paraId="15B0C437" w14:textId="77777777" w:rsidR="006F178B" w:rsidRPr="00611CC4" w:rsidRDefault="006F178B" w:rsidP="00D011FC">
            <w:pPr>
              <w:pStyle w:val="TAC"/>
            </w:pPr>
          </w:p>
        </w:tc>
        <w:tc>
          <w:tcPr>
            <w:tcW w:w="2831" w:type="dxa"/>
          </w:tcPr>
          <w:p w14:paraId="396426F5" w14:textId="77777777" w:rsidR="006F178B" w:rsidRPr="00611CC4" w:rsidRDefault="006F178B" w:rsidP="00D011FC">
            <w:pPr>
              <w:pStyle w:val="TAC"/>
            </w:pPr>
            <w:r w:rsidRPr="00611CC4">
              <w:t>NR Band n257</w:t>
            </w:r>
          </w:p>
        </w:tc>
        <w:tc>
          <w:tcPr>
            <w:tcW w:w="810" w:type="dxa"/>
          </w:tcPr>
          <w:p w14:paraId="52374897" w14:textId="77777777" w:rsidR="006F178B" w:rsidRPr="00611CC4" w:rsidRDefault="006F178B" w:rsidP="00D011FC">
            <w:pPr>
              <w:pStyle w:val="TAC"/>
            </w:pPr>
            <w:r w:rsidRPr="00611CC4">
              <w:t>26500</w:t>
            </w:r>
          </w:p>
        </w:tc>
        <w:tc>
          <w:tcPr>
            <w:tcW w:w="540" w:type="dxa"/>
          </w:tcPr>
          <w:p w14:paraId="2DE89C8D" w14:textId="77777777" w:rsidR="006F178B" w:rsidRPr="00611CC4" w:rsidRDefault="006F178B" w:rsidP="00D011FC">
            <w:pPr>
              <w:pStyle w:val="TAC"/>
            </w:pPr>
            <w:r w:rsidRPr="00611CC4">
              <w:t>-</w:t>
            </w:r>
          </w:p>
        </w:tc>
        <w:tc>
          <w:tcPr>
            <w:tcW w:w="889" w:type="dxa"/>
          </w:tcPr>
          <w:p w14:paraId="4FCAA2F1" w14:textId="77777777" w:rsidR="006F178B" w:rsidRPr="00611CC4" w:rsidRDefault="006F178B" w:rsidP="00D011FC">
            <w:pPr>
              <w:pStyle w:val="TAC"/>
            </w:pPr>
            <w:r w:rsidRPr="00611CC4">
              <w:t>29500</w:t>
            </w:r>
          </w:p>
        </w:tc>
        <w:tc>
          <w:tcPr>
            <w:tcW w:w="1133" w:type="dxa"/>
          </w:tcPr>
          <w:p w14:paraId="2BD9C999" w14:textId="77777777" w:rsidR="006F178B" w:rsidRPr="00611CC4" w:rsidRDefault="006F178B" w:rsidP="00D011FC">
            <w:pPr>
              <w:pStyle w:val="TAC"/>
            </w:pPr>
            <w:r w:rsidRPr="00611CC4">
              <w:t>-5</w:t>
            </w:r>
          </w:p>
        </w:tc>
        <w:tc>
          <w:tcPr>
            <w:tcW w:w="850" w:type="dxa"/>
            <w:noWrap/>
          </w:tcPr>
          <w:p w14:paraId="5D17C873" w14:textId="77777777" w:rsidR="006F178B" w:rsidRPr="00611CC4" w:rsidRDefault="006F178B" w:rsidP="00D011FC">
            <w:pPr>
              <w:pStyle w:val="TAC"/>
            </w:pPr>
            <w:r w:rsidRPr="00611CC4">
              <w:t>100</w:t>
            </w:r>
          </w:p>
        </w:tc>
        <w:tc>
          <w:tcPr>
            <w:tcW w:w="928" w:type="dxa"/>
            <w:noWrap/>
          </w:tcPr>
          <w:p w14:paraId="7471C3C2" w14:textId="77777777" w:rsidR="006F178B" w:rsidRPr="00611CC4" w:rsidRDefault="006F178B" w:rsidP="00D011FC">
            <w:pPr>
              <w:pStyle w:val="TAC"/>
            </w:pPr>
          </w:p>
        </w:tc>
      </w:tr>
      <w:tr w:rsidR="006F178B" w:rsidRPr="00611CC4" w14:paraId="2C898D25" w14:textId="77777777" w:rsidTr="00D011FC">
        <w:trPr>
          <w:trHeight w:val="225"/>
          <w:jc w:val="center"/>
        </w:trPr>
        <w:tc>
          <w:tcPr>
            <w:tcW w:w="959" w:type="dxa"/>
            <w:vMerge w:val="restart"/>
          </w:tcPr>
          <w:p w14:paraId="1D8FFEF7" w14:textId="77777777" w:rsidR="006F178B" w:rsidRPr="00611CC4" w:rsidRDefault="006F178B" w:rsidP="00D011FC">
            <w:pPr>
              <w:pStyle w:val="TAC"/>
            </w:pPr>
            <w:r w:rsidRPr="00611CC4">
              <w:t>n79</w:t>
            </w:r>
          </w:p>
        </w:tc>
        <w:tc>
          <w:tcPr>
            <w:tcW w:w="2831" w:type="dxa"/>
          </w:tcPr>
          <w:p w14:paraId="38351050" w14:textId="77777777" w:rsidR="006F178B" w:rsidRPr="00611CC4" w:rsidRDefault="006F178B" w:rsidP="00D011FC">
            <w:pPr>
              <w:pStyle w:val="TAC"/>
            </w:pPr>
            <w:r w:rsidRPr="00611CC4">
              <w:t>E-UTRA Band 1, 3, 5, 8, 11, 18, 19, 21, 28, 34, 39, 40, 41, 42, 65</w:t>
            </w:r>
          </w:p>
        </w:tc>
        <w:tc>
          <w:tcPr>
            <w:tcW w:w="810" w:type="dxa"/>
          </w:tcPr>
          <w:p w14:paraId="66BFAAF2" w14:textId="77777777" w:rsidR="006F178B" w:rsidRPr="00611CC4" w:rsidRDefault="006F178B" w:rsidP="00D011FC">
            <w:pPr>
              <w:pStyle w:val="TAC"/>
            </w:pPr>
            <w:r w:rsidRPr="00611CC4">
              <w:t>F</w:t>
            </w:r>
            <w:r w:rsidRPr="00611CC4">
              <w:rPr>
                <w:vertAlign w:val="subscript"/>
              </w:rPr>
              <w:t>DL_low</w:t>
            </w:r>
            <w:r w:rsidRPr="00611CC4">
              <w:t xml:space="preserve"> </w:t>
            </w:r>
          </w:p>
        </w:tc>
        <w:tc>
          <w:tcPr>
            <w:tcW w:w="540" w:type="dxa"/>
          </w:tcPr>
          <w:p w14:paraId="620DF69B" w14:textId="77777777" w:rsidR="006F178B" w:rsidRPr="00611CC4" w:rsidRDefault="006F178B" w:rsidP="00D011FC">
            <w:pPr>
              <w:pStyle w:val="TAC"/>
            </w:pPr>
            <w:r w:rsidRPr="00611CC4">
              <w:t>-</w:t>
            </w:r>
          </w:p>
        </w:tc>
        <w:tc>
          <w:tcPr>
            <w:tcW w:w="889" w:type="dxa"/>
          </w:tcPr>
          <w:p w14:paraId="4CBA7957" w14:textId="77777777" w:rsidR="006F178B" w:rsidRPr="00611CC4" w:rsidRDefault="006F178B" w:rsidP="00D011FC">
            <w:pPr>
              <w:pStyle w:val="TAC"/>
            </w:pPr>
            <w:r w:rsidRPr="00611CC4">
              <w:rPr>
                <w:rStyle w:val="TALCar"/>
              </w:rPr>
              <w:t>F</w:t>
            </w:r>
            <w:r w:rsidRPr="00611CC4">
              <w:rPr>
                <w:rStyle w:val="TALCar"/>
                <w:vertAlign w:val="subscript"/>
              </w:rPr>
              <w:t>DL_high</w:t>
            </w:r>
          </w:p>
        </w:tc>
        <w:tc>
          <w:tcPr>
            <w:tcW w:w="1133" w:type="dxa"/>
          </w:tcPr>
          <w:p w14:paraId="28CDE110" w14:textId="77777777" w:rsidR="006F178B" w:rsidRPr="00611CC4" w:rsidRDefault="006F178B" w:rsidP="00D011FC">
            <w:pPr>
              <w:pStyle w:val="TAC"/>
            </w:pPr>
            <w:r w:rsidRPr="00611CC4">
              <w:t>-50</w:t>
            </w:r>
          </w:p>
        </w:tc>
        <w:tc>
          <w:tcPr>
            <w:tcW w:w="850" w:type="dxa"/>
            <w:noWrap/>
          </w:tcPr>
          <w:p w14:paraId="7D3FF036" w14:textId="77777777" w:rsidR="006F178B" w:rsidRPr="00611CC4" w:rsidRDefault="006F178B" w:rsidP="00D011FC">
            <w:pPr>
              <w:pStyle w:val="TAC"/>
            </w:pPr>
            <w:r w:rsidRPr="00611CC4">
              <w:t>1</w:t>
            </w:r>
          </w:p>
        </w:tc>
        <w:tc>
          <w:tcPr>
            <w:tcW w:w="928" w:type="dxa"/>
            <w:noWrap/>
          </w:tcPr>
          <w:p w14:paraId="18EF39D0" w14:textId="77777777" w:rsidR="006F178B" w:rsidRPr="00611CC4" w:rsidRDefault="006F178B" w:rsidP="00D011FC">
            <w:pPr>
              <w:pStyle w:val="TAC"/>
            </w:pPr>
          </w:p>
        </w:tc>
      </w:tr>
      <w:tr w:rsidR="006F178B" w:rsidRPr="00611CC4" w14:paraId="6214F922" w14:textId="77777777" w:rsidTr="00D011FC">
        <w:trPr>
          <w:trHeight w:val="225"/>
          <w:jc w:val="center"/>
        </w:trPr>
        <w:tc>
          <w:tcPr>
            <w:tcW w:w="959" w:type="dxa"/>
            <w:vMerge/>
          </w:tcPr>
          <w:p w14:paraId="33F8A134" w14:textId="77777777" w:rsidR="006F178B" w:rsidRPr="00611CC4" w:rsidRDefault="006F178B" w:rsidP="00D011FC">
            <w:pPr>
              <w:pStyle w:val="TAC"/>
            </w:pPr>
          </w:p>
        </w:tc>
        <w:tc>
          <w:tcPr>
            <w:tcW w:w="2831" w:type="dxa"/>
          </w:tcPr>
          <w:p w14:paraId="644D1CC8" w14:textId="77777777" w:rsidR="006F178B" w:rsidRPr="00611CC4" w:rsidRDefault="006F178B" w:rsidP="00D011FC">
            <w:pPr>
              <w:pStyle w:val="TAC"/>
            </w:pPr>
            <w:r w:rsidRPr="00611CC4">
              <w:t>Frequency range</w:t>
            </w:r>
          </w:p>
        </w:tc>
        <w:tc>
          <w:tcPr>
            <w:tcW w:w="810" w:type="dxa"/>
          </w:tcPr>
          <w:p w14:paraId="7D561D23" w14:textId="77777777" w:rsidR="006F178B" w:rsidRPr="00611CC4" w:rsidRDefault="006F178B" w:rsidP="00D011FC">
            <w:pPr>
              <w:pStyle w:val="TAC"/>
            </w:pPr>
            <w:r w:rsidRPr="00611CC4">
              <w:t>1884.5</w:t>
            </w:r>
          </w:p>
        </w:tc>
        <w:tc>
          <w:tcPr>
            <w:tcW w:w="540" w:type="dxa"/>
          </w:tcPr>
          <w:p w14:paraId="6BA8CAE9" w14:textId="77777777" w:rsidR="006F178B" w:rsidRPr="00611CC4" w:rsidRDefault="006F178B" w:rsidP="00D011FC">
            <w:pPr>
              <w:pStyle w:val="TAC"/>
            </w:pPr>
            <w:r w:rsidRPr="00611CC4">
              <w:t>-</w:t>
            </w:r>
          </w:p>
        </w:tc>
        <w:tc>
          <w:tcPr>
            <w:tcW w:w="889" w:type="dxa"/>
          </w:tcPr>
          <w:p w14:paraId="457D4EF2" w14:textId="77777777" w:rsidR="006F178B" w:rsidRPr="00611CC4" w:rsidRDefault="006F178B" w:rsidP="00D011FC">
            <w:pPr>
              <w:pStyle w:val="TAC"/>
            </w:pPr>
            <w:r w:rsidRPr="00611CC4">
              <w:t>1915.7</w:t>
            </w:r>
          </w:p>
        </w:tc>
        <w:tc>
          <w:tcPr>
            <w:tcW w:w="1133" w:type="dxa"/>
          </w:tcPr>
          <w:p w14:paraId="734A6EF4" w14:textId="77777777" w:rsidR="006F178B" w:rsidRPr="00611CC4" w:rsidRDefault="006F178B" w:rsidP="00D011FC">
            <w:pPr>
              <w:pStyle w:val="TAC"/>
            </w:pPr>
            <w:r w:rsidRPr="00611CC4">
              <w:t>-41</w:t>
            </w:r>
          </w:p>
        </w:tc>
        <w:tc>
          <w:tcPr>
            <w:tcW w:w="850" w:type="dxa"/>
            <w:noWrap/>
          </w:tcPr>
          <w:p w14:paraId="098F8D11" w14:textId="77777777" w:rsidR="006F178B" w:rsidRPr="00611CC4" w:rsidRDefault="006F178B" w:rsidP="00D011FC">
            <w:pPr>
              <w:pStyle w:val="TAC"/>
            </w:pPr>
            <w:r w:rsidRPr="00611CC4">
              <w:t>0.3</w:t>
            </w:r>
          </w:p>
        </w:tc>
        <w:tc>
          <w:tcPr>
            <w:tcW w:w="928" w:type="dxa"/>
            <w:noWrap/>
          </w:tcPr>
          <w:p w14:paraId="6323738E" w14:textId="77777777" w:rsidR="006F178B" w:rsidRPr="00611CC4" w:rsidRDefault="006F178B" w:rsidP="00D011FC">
            <w:pPr>
              <w:pStyle w:val="TAC"/>
            </w:pPr>
            <w:r w:rsidRPr="00611CC4">
              <w:t>8</w:t>
            </w:r>
          </w:p>
        </w:tc>
      </w:tr>
      <w:tr w:rsidR="006F178B" w:rsidRPr="00611CC4" w14:paraId="4C3AA7EA" w14:textId="77777777" w:rsidTr="00D011FC">
        <w:trPr>
          <w:trHeight w:val="225"/>
          <w:jc w:val="center"/>
        </w:trPr>
        <w:tc>
          <w:tcPr>
            <w:tcW w:w="959" w:type="dxa"/>
            <w:vMerge/>
          </w:tcPr>
          <w:p w14:paraId="59A6726E" w14:textId="77777777" w:rsidR="006F178B" w:rsidRPr="00611CC4" w:rsidRDefault="006F178B" w:rsidP="00D011FC">
            <w:pPr>
              <w:pStyle w:val="TAC"/>
            </w:pPr>
          </w:p>
        </w:tc>
        <w:tc>
          <w:tcPr>
            <w:tcW w:w="2831" w:type="dxa"/>
          </w:tcPr>
          <w:p w14:paraId="6180C112" w14:textId="77777777" w:rsidR="006F178B" w:rsidRPr="00611CC4" w:rsidRDefault="006F178B" w:rsidP="00D011FC">
            <w:pPr>
              <w:pStyle w:val="TAC"/>
            </w:pPr>
            <w:r w:rsidRPr="00611CC4">
              <w:t>NR Band n257</w:t>
            </w:r>
          </w:p>
        </w:tc>
        <w:tc>
          <w:tcPr>
            <w:tcW w:w="810" w:type="dxa"/>
          </w:tcPr>
          <w:p w14:paraId="237BCAF3" w14:textId="77777777" w:rsidR="006F178B" w:rsidRPr="00611CC4" w:rsidRDefault="006F178B" w:rsidP="00D011FC">
            <w:pPr>
              <w:pStyle w:val="TAC"/>
            </w:pPr>
            <w:r w:rsidRPr="00611CC4">
              <w:t>26500</w:t>
            </w:r>
          </w:p>
        </w:tc>
        <w:tc>
          <w:tcPr>
            <w:tcW w:w="540" w:type="dxa"/>
          </w:tcPr>
          <w:p w14:paraId="5F2585F8" w14:textId="77777777" w:rsidR="006F178B" w:rsidRPr="00611CC4" w:rsidRDefault="006F178B" w:rsidP="00D011FC">
            <w:pPr>
              <w:pStyle w:val="TAC"/>
            </w:pPr>
            <w:r w:rsidRPr="00611CC4">
              <w:t>-</w:t>
            </w:r>
          </w:p>
        </w:tc>
        <w:tc>
          <w:tcPr>
            <w:tcW w:w="889" w:type="dxa"/>
          </w:tcPr>
          <w:p w14:paraId="3D91760D" w14:textId="77777777" w:rsidR="006F178B" w:rsidRPr="00611CC4" w:rsidRDefault="006F178B" w:rsidP="00D011FC">
            <w:pPr>
              <w:pStyle w:val="TAC"/>
            </w:pPr>
            <w:r w:rsidRPr="00611CC4">
              <w:t>29500</w:t>
            </w:r>
          </w:p>
        </w:tc>
        <w:tc>
          <w:tcPr>
            <w:tcW w:w="1133" w:type="dxa"/>
          </w:tcPr>
          <w:p w14:paraId="106AAD56" w14:textId="77777777" w:rsidR="006F178B" w:rsidRPr="00611CC4" w:rsidRDefault="006F178B" w:rsidP="00D011FC">
            <w:pPr>
              <w:pStyle w:val="TAC"/>
            </w:pPr>
            <w:r w:rsidRPr="00611CC4">
              <w:t>-5</w:t>
            </w:r>
          </w:p>
        </w:tc>
        <w:tc>
          <w:tcPr>
            <w:tcW w:w="850" w:type="dxa"/>
            <w:noWrap/>
          </w:tcPr>
          <w:p w14:paraId="67888332" w14:textId="77777777" w:rsidR="006F178B" w:rsidRPr="00611CC4" w:rsidRDefault="006F178B" w:rsidP="00D011FC">
            <w:pPr>
              <w:pStyle w:val="TAC"/>
            </w:pPr>
            <w:r w:rsidRPr="00611CC4">
              <w:t>100</w:t>
            </w:r>
          </w:p>
        </w:tc>
        <w:tc>
          <w:tcPr>
            <w:tcW w:w="928" w:type="dxa"/>
            <w:noWrap/>
          </w:tcPr>
          <w:p w14:paraId="7B1E15E3" w14:textId="77777777" w:rsidR="006F178B" w:rsidRPr="00611CC4" w:rsidRDefault="006F178B" w:rsidP="006F178B">
            <w:pPr>
              <w:pStyle w:val="TAC"/>
            </w:pPr>
          </w:p>
        </w:tc>
      </w:tr>
    </w:tbl>
    <w:p w14:paraId="6C6A216B" w14:textId="6302A438" w:rsidR="006F178B" w:rsidRPr="006F178B" w:rsidRDefault="006F178B" w:rsidP="006F178B">
      <w:pPr>
        <w:pStyle w:val="Beschriftung"/>
        <w:jc w:val="center"/>
      </w:pPr>
      <w:r>
        <w:t xml:space="preserve">Table </w:t>
      </w:r>
      <w:r>
        <w:fldChar w:fldCharType="begin"/>
      </w:r>
      <w:r>
        <w:instrText xml:space="preserve"> SEQ Table \* ARABIC </w:instrText>
      </w:r>
      <w:r>
        <w:fldChar w:fldCharType="separate"/>
      </w:r>
      <w:r w:rsidR="003A1A60">
        <w:rPr>
          <w:noProof/>
        </w:rPr>
        <w:t>1</w:t>
      </w:r>
      <w:r>
        <w:fldChar w:fldCharType="end"/>
      </w:r>
      <w:r>
        <w:t xml:space="preserve"> UE co-existence requirements for bands n77, n78 and n79 [1]</w:t>
      </w:r>
    </w:p>
    <w:p w14:paraId="49407C82" w14:textId="616BD2F8" w:rsidR="006F178B" w:rsidRDefault="006F178B" w:rsidP="00824BF1">
      <w:pPr>
        <w:rPr>
          <w:lang w:eastAsia="en-US"/>
        </w:rPr>
      </w:pPr>
      <w:r>
        <w:rPr>
          <w:lang w:eastAsia="en-US"/>
        </w:rPr>
        <w:t xml:space="preserve">This is the first time that UE co-existence requirements exceed the frequency range as recommended by ITU, which is up to 26GHz as per ITU-R SM.329-12 [2]. Those requirements are currently reflected in </w:t>
      </w:r>
      <w:r w:rsidR="00E9528C">
        <w:rPr>
          <w:lang w:eastAsia="en-US"/>
        </w:rPr>
        <w:t>the general spurious emission requirements in [1].</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E9528C" w:rsidRPr="00611CC4" w14:paraId="4DB1379E" w14:textId="77777777" w:rsidTr="00D011FC">
        <w:tc>
          <w:tcPr>
            <w:tcW w:w="2152" w:type="dxa"/>
          </w:tcPr>
          <w:p w14:paraId="472AFED4" w14:textId="77777777" w:rsidR="00E9528C" w:rsidRPr="00611CC4" w:rsidRDefault="00E9528C" w:rsidP="00D011FC">
            <w:pPr>
              <w:pStyle w:val="TAH"/>
            </w:pPr>
            <w:r w:rsidRPr="00611CC4">
              <w:lastRenderedPageBreak/>
              <w:t>Frequency Range</w:t>
            </w:r>
          </w:p>
        </w:tc>
        <w:tc>
          <w:tcPr>
            <w:tcW w:w="1522" w:type="dxa"/>
          </w:tcPr>
          <w:p w14:paraId="577EE348" w14:textId="77777777" w:rsidR="00E9528C" w:rsidRPr="00611CC4" w:rsidRDefault="00E9528C" w:rsidP="00D011FC">
            <w:pPr>
              <w:pStyle w:val="TAH"/>
            </w:pPr>
            <w:r w:rsidRPr="00611CC4">
              <w:t>Maximum Level</w:t>
            </w:r>
          </w:p>
        </w:tc>
        <w:tc>
          <w:tcPr>
            <w:tcW w:w="2262" w:type="dxa"/>
          </w:tcPr>
          <w:p w14:paraId="39E219F2" w14:textId="77777777" w:rsidR="00E9528C" w:rsidRPr="00611CC4" w:rsidRDefault="00E9528C" w:rsidP="00D011FC">
            <w:pPr>
              <w:pStyle w:val="TAH"/>
            </w:pPr>
            <w:r w:rsidRPr="00611CC4">
              <w:t>Measurement bandwidth</w:t>
            </w:r>
          </w:p>
        </w:tc>
        <w:tc>
          <w:tcPr>
            <w:tcW w:w="868" w:type="dxa"/>
          </w:tcPr>
          <w:p w14:paraId="320A3C1F" w14:textId="77777777" w:rsidR="00E9528C" w:rsidRPr="00611CC4" w:rsidRDefault="00E9528C" w:rsidP="00D011FC">
            <w:pPr>
              <w:pStyle w:val="TAH"/>
            </w:pPr>
            <w:r w:rsidRPr="00611CC4">
              <w:t>NOTE</w:t>
            </w:r>
          </w:p>
        </w:tc>
      </w:tr>
      <w:tr w:rsidR="00E9528C" w:rsidRPr="00611CC4" w14:paraId="1B75A067" w14:textId="77777777" w:rsidTr="00D011FC">
        <w:tc>
          <w:tcPr>
            <w:tcW w:w="2152" w:type="dxa"/>
          </w:tcPr>
          <w:p w14:paraId="22AF97BE" w14:textId="77777777" w:rsidR="00E9528C" w:rsidRPr="00611CC4" w:rsidRDefault="00E9528C" w:rsidP="00D011FC">
            <w:pPr>
              <w:pStyle w:val="TAC"/>
            </w:pPr>
            <w:r w:rsidRPr="00611CC4">
              <w:t xml:space="preserve">9 kHz </w:t>
            </w:r>
            <w:r w:rsidRPr="00611CC4">
              <w:sym w:font="Symbol" w:char="F0A3"/>
            </w:r>
            <w:r w:rsidRPr="00611CC4">
              <w:t xml:space="preserve"> f &lt; 150 kHz</w:t>
            </w:r>
          </w:p>
        </w:tc>
        <w:tc>
          <w:tcPr>
            <w:tcW w:w="1522" w:type="dxa"/>
          </w:tcPr>
          <w:p w14:paraId="455D2AB7" w14:textId="77777777" w:rsidR="00E9528C" w:rsidRPr="00611CC4" w:rsidRDefault="00E9528C" w:rsidP="00D011FC">
            <w:pPr>
              <w:pStyle w:val="TAC"/>
            </w:pPr>
            <w:r w:rsidRPr="00611CC4">
              <w:t>-36 dBm</w:t>
            </w:r>
          </w:p>
        </w:tc>
        <w:tc>
          <w:tcPr>
            <w:tcW w:w="2262" w:type="dxa"/>
          </w:tcPr>
          <w:p w14:paraId="223C8E64" w14:textId="77777777" w:rsidR="00E9528C" w:rsidRPr="00611CC4" w:rsidRDefault="00E9528C" w:rsidP="00D011FC">
            <w:pPr>
              <w:pStyle w:val="TAC"/>
            </w:pPr>
            <w:r w:rsidRPr="00611CC4">
              <w:t xml:space="preserve">1 kHz </w:t>
            </w:r>
          </w:p>
        </w:tc>
        <w:tc>
          <w:tcPr>
            <w:tcW w:w="868" w:type="dxa"/>
          </w:tcPr>
          <w:p w14:paraId="082F58FD" w14:textId="77777777" w:rsidR="00E9528C" w:rsidRPr="00611CC4" w:rsidRDefault="00E9528C" w:rsidP="00D011FC">
            <w:pPr>
              <w:pStyle w:val="TAC"/>
            </w:pPr>
          </w:p>
        </w:tc>
      </w:tr>
      <w:tr w:rsidR="00E9528C" w:rsidRPr="00611CC4" w14:paraId="61EE60E7" w14:textId="77777777" w:rsidTr="00D011FC">
        <w:tc>
          <w:tcPr>
            <w:tcW w:w="2152" w:type="dxa"/>
          </w:tcPr>
          <w:p w14:paraId="0A9755A1" w14:textId="77777777" w:rsidR="00E9528C" w:rsidRPr="00611CC4" w:rsidRDefault="00E9528C" w:rsidP="00D011FC">
            <w:pPr>
              <w:pStyle w:val="TAC"/>
            </w:pPr>
            <w:r w:rsidRPr="00611CC4">
              <w:t xml:space="preserve">150 kHz </w:t>
            </w:r>
            <w:r w:rsidRPr="00611CC4">
              <w:sym w:font="Symbol" w:char="F0A3"/>
            </w:r>
            <w:r w:rsidRPr="00611CC4">
              <w:t xml:space="preserve"> f &lt; 30 MHz</w:t>
            </w:r>
          </w:p>
        </w:tc>
        <w:tc>
          <w:tcPr>
            <w:tcW w:w="1522" w:type="dxa"/>
          </w:tcPr>
          <w:p w14:paraId="6ABCBC88" w14:textId="77777777" w:rsidR="00E9528C" w:rsidRPr="00611CC4" w:rsidRDefault="00E9528C" w:rsidP="00D011FC">
            <w:pPr>
              <w:pStyle w:val="TAC"/>
            </w:pPr>
            <w:r w:rsidRPr="00611CC4">
              <w:t>-36 dBm</w:t>
            </w:r>
          </w:p>
        </w:tc>
        <w:tc>
          <w:tcPr>
            <w:tcW w:w="2262" w:type="dxa"/>
          </w:tcPr>
          <w:p w14:paraId="65998C57" w14:textId="77777777" w:rsidR="00E9528C" w:rsidRPr="00611CC4" w:rsidRDefault="00E9528C" w:rsidP="00D011FC">
            <w:pPr>
              <w:pStyle w:val="TAC"/>
            </w:pPr>
            <w:r w:rsidRPr="00611CC4">
              <w:t xml:space="preserve">10 kHz </w:t>
            </w:r>
          </w:p>
        </w:tc>
        <w:tc>
          <w:tcPr>
            <w:tcW w:w="868" w:type="dxa"/>
          </w:tcPr>
          <w:p w14:paraId="4EA9C4C4" w14:textId="77777777" w:rsidR="00E9528C" w:rsidRPr="00611CC4" w:rsidRDefault="00E9528C" w:rsidP="00D011FC">
            <w:pPr>
              <w:pStyle w:val="TAC"/>
            </w:pPr>
          </w:p>
        </w:tc>
      </w:tr>
      <w:tr w:rsidR="00E9528C" w:rsidRPr="00611CC4" w14:paraId="36EEA559" w14:textId="77777777" w:rsidTr="00D011FC">
        <w:tc>
          <w:tcPr>
            <w:tcW w:w="2152" w:type="dxa"/>
          </w:tcPr>
          <w:p w14:paraId="1108659F" w14:textId="77777777" w:rsidR="00E9528C" w:rsidRPr="00611CC4" w:rsidRDefault="00E9528C" w:rsidP="00D011FC">
            <w:pPr>
              <w:pStyle w:val="TAC"/>
            </w:pPr>
            <w:r w:rsidRPr="00611CC4">
              <w:t xml:space="preserve">30 MHz </w:t>
            </w:r>
            <w:r w:rsidRPr="00611CC4">
              <w:sym w:font="Symbol" w:char="F0A3"/>
            </w:r>
            <w:r w:rsidRPr="00611CC4">
              <w:t xml:space="preserve"> f &lt; 1000 MHz</w:t>
            </w:r>
          </w:p>
        </w:tc>
        <w:tc>
          <w:tcPr>
            <w:tcW w:w="1522" w:type="dxa"/>
          </w:tcPr>
          <w:p w14:paraId="0A2F473A" w14:textId="77777777" w:rsidR="00E9528C" w:rsidRPr="00611CC4" w:rsidRDefault="00E9528C" w:rsidP="00D011FC">
            <w:pPr>
              <w:pStyle w:val="TAC"/>
            </w:pPr>
            <w:r w:rsidRPr="00611CC4">
              <w:t>-36 dBm</w:t>
            </w:r>
          </w:p>
        </w:tc>
        <w:tc>
          <w:tcPr>
            <w:tcW w:w="2262" w:type="dxa"/>
          </w:tcPr>
          <w:p w14:paraId="52CC33F7" w14:textId="77777777" w:rsidR="00E9528C" w:rsidRPr="00611CC4" w:rsidRDefault="00E9528C" w:rsidP="00D011FC">
            <w:pPr>
              <w:pStyle w:val="TAC"/>
            </w:pPr>
            <w:r w:rsidRPr="00611CC4">
              <w:t>100 kHz</w:t>
            </w:r>
          </w:p>
        </w:tc>
        <w:tc>
          <w:tcPr>
            <w:tcW w:w="868" w:type="dxa"/>
          </w:tcPr>
          <w:p w14:paraId="7EF277E6" w14:textId="77777777" w:rsidR="00E9528C" w:rsidRPr="00611CC4" w:rsidRDefault="00E9528C" w:rsidP="00D011FC">
            <w:pPr>
              <w:pStyle w:val="TAC"/>
            </w:pPr>
          </w:p>
        </w:tc>
      </w:tr>
      <w:tr w:rsidR="00E9528C" w:rsidRPr="00611CC4" w14:paraId="0285F624" w14:textId="77777777" w:rsidTr="00D011FC">
        <w:tc>
          <w:tcPr>
            <w:tcW w:w="2152" w:type="dxa"/>
          </w:tcPr>
          <w:p w14:paraId="7C4A054B" w14:textId="77777777" w:rsidR="00E9528C" w:rsidRPr="00611CC4" w:rsidRDefault="00E9528C" w:rsidP="00D011FC">
            <w:pPr>
              <w:pStyle w:val="TAC"/>
            </w:pPr>
            <w:r w:rsidRPr="00611CC4">
              <w:t xml:space="preserve">1 GHz </w:t>
            </w:r>
            <w:r w:rsidRPr="00611CC4">
              <w:sym w:font="Symbol" w:char="F0A3"/>
            </w:r>
            <w:r w:rsidRPr="00611CC4">
              <w:t xml:space="preserve"> f &lt; 12.75 GHz</w:t>
            </w:r>
          </w:p>
        </w:tc>
        <w:tc>
          <w:tcPr>
            <w:tcW w:w="1522" w:type="dxa"/>
          </w:tcPr>
          <w:p w14:paraId="3EBA16C4" w14:textId="77777777" w:rsidR="00E9528C" w:rsidRPr="00611CC4" w:rsidRDefault="00E9528C" w:rsidP="00D011FC">
            <w:pPr>
              <w:pStyle w:val="TAC"/>
            </w:pPr>
            <w:r w:rsidRPr="00611CC4">
              <w:t>-30 dBm</w:t>
            </w:r>
          </w:p>
        </w:tc>
        <w:tc>
          <w:tcPr>
            <w:tcW w:w="2262" w:type="dxa"/>
          </w:tcPr>
          <w:p w14:paraId="0408353F" w14:textId="77777777" w:rsidR="00E9528C" w:rsidRPr="00611CC4" w:rsidRDefault="00E9528C" w:rsidP="00D011FC">
            <w:pPr>
              <w:pStyle w:val="TAC"/>
            </w:pPr>
            <w:r w:rsidRPr="00611CC4">
              <w:t>1 MHz</w:t>
            </w:r>
          </w:p>
        </w:tc>
        <w:tc>
          <w:tcPr>
            <w:tcW w:w="868" w:type="dxa"/>
          </w:tcPr>
          <w:p w14:paraId="49EF75C5" w14:textId="77777777" w:rsidR="00E9528C" w:rsidRPr="00611CC4" w:rsidRDefault="00E9528C" w:rsidP="00D011FC">
            <w:pPr>
              <w:pStyle w:val="TAC"/>
            </w:pPr>
          </w:p>
        </w:tc>
      </w:tr>
      <w:tr w:rsidR="00E9528C" w:rsidRPr="00611CC4" w14:paraId="3511DC97" w14:textId="77777777" w:rsidTr="00D011FC">
        <w:tc>
          <w:tcPr>
            <w:tcW w:w="2152" w:type="dxa"/>
            <w:vAlign w:val="center"/>
          </w:tcPr>
          <w:p w14:paraId="684061F2" w14:textId="77777777" w:rsidR="00E9528C" w:rsidRPr="00611CC4" w:rsidRDefault="00E9528C" w:rsidP="00D011FC">
            <w:pPr>
              <w:pStyle w:val="TAC"/>
            </w:pPr>
            <w:r w:rsidRPr="00611CC4">
              <w:t>12.75 GHz ≤ f &lt; 5th harmonic of the upper frequency edge of the UL operating band in GHz</w:t>
            </w:r>
          </w:p>
        </w:tc>
        <w:tc>
          <w:tcPr>
            <w:tcW w:w="1522" w:type="dxa"/>
            <w:vAlign w:val="center"/>
          </w:tcPr>
          <w:p w14:paraId="08FA7AD4" w14:textId="77777777" w:rsidR="00E9528C" w:rsidRPr="00611CC4" w:rsidRDefault="00E9528C" w:rsidP="00D011FC">
            <w:pPr>
              <w:pStyle w:val="TAC"/>
            </w:pPr>
            <w:r w:rsidRPr="00611CC4">
              <w:t>-30 dBm</w:t>
            </w:r>
          </w:p>
        </w:tc>
        <w:tc>
          <w:tcPr>
            <w:tcW w:w="2262" w:type="dxa"/>
            <w:vAlign w:val="center"/>
          </w:tcPr>
          <w:p w14:paraId="0C46CF71" w14:textId="77777777" w:rsidR="00E9528C" w:rsidRPr="00611CC4" w:rsidRDefault="00E9528C" w:rsidP="00D011FC">
            <w:pPr>
              <w:pStyle w:val="TAC"/>
            </w:pPr>
            <w:r w:rsidRPr="00611CC4">
              <w:t>1 MHz</w:t>
            </w:r>
          </w:p>
        </w:tc>
        <w:tc>
          <w:tcPr>
            <w:tcW w:w="868" w:type="dxa"/>
            <w:vAlign w:val="center"/>
          </w:tcPr>
          <w:p w14:paraId="1390CCEA" w14:textId="77777777" w:rsidR="00E9528C" w:rsidRPr="00611CC4" w:rsidRDefault="00E9528C" w:rsidP="00D011FC">
            <w:pPr>
              <w:pStyle w:val="TAC"/>
            </w:pPr>
            <w:r w:rsidRPr="00611CC4">
              <w:t>1</w:t>
            </w:r>
          </w:p>
        </w:tc>
      </w:tr>
      <w:tr w:rsidR="00E9528C" w:rsidRPr="00611CC4" w14:paraId="7B4640AA" w14:textId="77777777" w:rsidTr="00D011FC">
        <w:tc>
          <w:tcPr>
            <w:tcW w:w="2152" w:type="dxa"/>
            <w:vAlign w:val="center"/>
          </w:tcPr>
          <w:p w14:paraId="09484D73" w14:textId="77777777" w:rsidR="00E9528C" w:rsidRPr="00611CC4" w:rsidRDefault="00E9528C" w:rsidP="00D011FC">
            <w:pPr>
              <w:pStyle w:val="TAC"/>
            </w:pPr>
            <w:r w:rsidRPr="00611CC4">
              <w:rPr>
                <w:rFonts w:hint="eastAsia"/>
              </w:rPr>
              <w:t>12.</w:t>
            </w:r>
            <w:r w:rsidRPr="00611CC4">
              <w:t>75 GHz &lt; f &lt; 26 GHz</w:t>
            </w:r>
          </w:p>
        </w:tc>
        <w:tc>
          <w:tcPr>
            <w:tcW w:w="1522" w:type="dxa"/>
            <w:vAlign w:val="center"/>
          </w:tcPr>
          <w:p w14:paraId="35CFD7EB" w14:textId="77777777" w:rsidR="00E9528C" w:rsidRPr="00611CC4" w:rsidRDefault="00E9528C" w:rsidP="00D011FC">
            <w:pPr>
              <w:pStyle w:val="TAC"/>
            </w:pPr>
            <w:r w:rsidRPr="00611CC4">
              <w:rPr>
                <w:rFonts w:hint="eastAsia"/>
              </w:rPr>
              <w:t>-30</w:t>
            </w:r>
            <w:r w:rsidRPr="00611CC4">
              <w:t xml:space="preserve"> </w:t>
            </w:r>
            <w:r w:rsidRPr="00611CC4">
              <w:rPr>
                <w:rFonts w:hint="eastAsia"/>
              </w:rPr>
              <w:t>dBm</w:t>
            </w:r>
          </w:p>
        </w:tc>
        <w:tc>
          <w:tcPr>
            <w:tcW w:w="2262" w:type="dxa"/>
            <w:vAlign w:val="center"/>
          </w:tcPr>
          <w:p w14:paraId="019B337B" w14:textId="77777777" w:rsidR="00E9528C" w:rsidRPr="00611CC4" w:rsidRDefault="00E9528C" w:rsidP="00D011FC">
            <w:pPr>
              <w:pStyle w:val="TAC"/>
            </w:pPr>
            <w:r w:rsidRPr="00611CC4">
              <w:rPr>
                <w:rFonts w:hint="eastAsia"/>
              </w:rPr>
              <w:t>1</w:t>
            </w:r>
            <w:r w:rsidRPr="00611CC4">
              <w:t xml:space="preserve"> </w:t>
            </w:r>
            <w:r w:rsidRPr="00611CC4">
              <w:rPr>
                <w:rFonts w:hint="eastAsia"/>
              </w:rPr>
              <w:t>MHz</w:t>
            </w:r>
          </w:p>
        </w:tc>
        <w:tc>
          <w:tcPr>
            <w:tcW w:w="868" w:type="dxa"/>
            <w:vAlign w:val="center"/>
          </w:tcPr>
          <w:p w14:paraId="3A12B8BF" w14:textId="77777777" w:rsidR="00E9528C" w:rsidRPr="00611CC4" w:rsidRDefault="00E9528C" w:rsidP="00D011FC">
            <w:pPr>
              <w:pStyle w:val="TAC"/>
            </w:pPr>
            <w:r w:rsidRPr="00611CC4">
              <w:rPr>
                <w:rFonts w:hint="eastAsia"/>
              </w:rPr>
              <w:t>2</w:t>
            </w:r>
          </w:p>
        </w:tc>
      </w:tr>
      <w:tr w:rsidR="00E9528C" w:rsidRPr="00611CC4" w14:paraId="6809EDEF" w14:textId="77777777" w:rsidTr="00D011FC">
        <w:tc>
          <w:tcPr>
            <w:tcW w:w="6804" w:type="dxa"/>
            <w:gridSpan w:val="4"/>
          </w:tcPr>
          <w:p w14:paraId="512BB7C9" w14:textId="77777777" w:rsidR="00E9528C" w:rsidRPr="00611CC4" w:rsidRDefault="00E9528C" w:rsidP="00D011FC">
            <w:pPr>
              <w:pStyle w:val="TAN"/>
              <w:rPr>
                <w:lang w:eastAsia="zh-CN"/>
              </w:rPr>
            </w:pPr>
            <w:r w:rsidRPr="00611CC4">
              <w:t>NOTE 1:</w:t>
            </w:r>
            <w:r w:rsidRPr="00611CC4">
              <w:tab/>
              <w:t>Applies for</w:t>
            </w:r>
            <w:r w:rsidRPr="00611CC4">
              <w:rPr>
                <w:rFonts w:hint="eastAsia"/>
                <w:lang w:eastAsia="zh-CN"/>
              </w:rPr>
              <w:t xml:space="preserve"> Band that the</w:t>
            </w:r>
            <w:r w:rsidRPr="00611CC4">
              <w:t xml:space="preserve"> upper frequency edge of the UL Band</w:t>
            </w:r>
            <w:r w:rsidRPr="00611CC4">
              <w:rPr>
                <w:rFonts w:hint="eastAsia"/>
                <w:lang w:eastAsia="zh-CN"/>
              </w:rPr>
              <w:t xml:space="preserve"> more than 2.69 GHz</w:t>
            </w:r>
          </w:p>
          <w:p w14:paraId="153687F1" w14:textId="77777777" w:rsidR="00E9528C" w:rsidRPr="00611CC4" w:rsidRDefault="00E9528C" w:rsidP="00E9528C">
            <w:pPr>
              <w:pStyle w:val="TAN"/>
              <w:rPr>
                <w:lang w:eastAsia="zh-CN"/>
              </w:rPr>
            </w:pPr>
            <w:r w:rsidRPr="00611CC4">
              <w:t>NOTE 2:</w:t>
            </w:r>
            <w:r w:rsidRPr="00611CC4">
              <w:tab/>
              <w:t xml:space="preserve">Applies for </w:t>
            </w:r>
            <w:r w:rsidRPr="00611CC4">
              <w:rPr>
                <w:lang w:eastAsia="ko-KR"/>
              </w:rPr>
              <w:t xml:space="preserve">Band </w:t>
            </w:r>
            <w:r w:rsidRPr="00611CC4">
              <w:rPr>
                <w:rFonts w:hint="eastAsia"/>
                <w:lang w:eastAsia="zh-CN"/>
              </w:rPr>
              <w:t>that the</w:t>
            </w:r>
            <w:r w:rsidRPr="00611CC4">
              <w:t xml:space="preserve"> upper frequency edge of the UL Band</w:t>
            </w:r>
            <w:r w:rsidRPr="00611CC4">
              <w:rPr>
                <w:rFonts w:hint="eastAsia"/>
                <w:lang w:eastAsia="zh-CN"/>
              </w:rPr>
              <w:t xml:space="preserve"> more than 5.2 GHz</w:t>
            </w:r>
          </w:p>
        </w:tc>
      </w:tr>
    </w:tbl>
    <w:p w14:paraId="00894F36" w14:textId="7597D06F" w:rsidR="00E9528C" w:rsidRDefault="00E9528C" w:rsidP="00E9528C">
      <w:pPr>
        <w:pStyle w:val="Beschriftung"/>
        <w:jc w:val="center"/>
      </w:pPr>
      <w:r>
        <w:t xml:space="preserve">Table </w:t>
      </w:r>
      <w:r>
        <w:fldChar w:fldCharType="begin"/>
      </w:r>
      <w:r>
        <w:instrText xml:space="preserve"> SEQ Table \* ARABIC </w:instrText>
      </w:r>
      <w:r>
        <w:fldChar w:fldCharType="separate"/>
      </w:r>
      <w:r w:rsidR="003A1A60">
        <w:rPr>
          <w:noProof/>
        </w:rPr>
        <w:t>2</w:t>
      </w:r>
      <w:r>
        <w:fldChar w:fldCharType="end"/>
      </w:r>
      <w:r>
        <w:t xml:space="preserve"> General spurious emission requirements [1]</w:t>
      </w:r>
    </w:p>
    <w:p w14:paraId="1CD38D7C" w14:textId="7A4889C0" w:rsidR="00E9528C" w:rsidRDefault="00E9528C" w:rsidP="00E9528C">
      <w:pPr>
        <w:rPr>
          <w:lang w:eastAsia="en-US"/>
        </w:rPr>
      </w:pPr>
      <w:r>
        <w:rPr>
          <w:lang w:eastAsia="en-US"/>
        </w:rPr>
        <w:t>The introduction of these new requirements in table 1 introduce</w:t>
      </w:r>
      <w:r w:rsidR="00196262">
        <w:rPr>
          <w:lang w:eastAsia="en-US"/>
        </w:rPr>
        <w:t>s</w:t>
      </w:r>
      <w:r>
        <w:rPr>
          <w:lang w:eastAsia="en-US"/>
        </w:rPr>
        <w:t xml:space="preserve"> some new challenges for the test system and should be carefully considered. At first look the addition of the band n257 to the spurious emission requirements does not seem very critical, however </w:t>
      </w:r>
      <w:r w:rsidR="00196262">
        <w:rPr>
          <w:lang w:eastAsia="en-US"/>
        </w:rPr>
        <w:t>it brings some serious new requirements for the test system. A</w:t>
      </w:r>
      <w:r>
        <w:rPr>
          <w:lang w:eastAsia="en-US"/>
        </w:rPr>
        <w:t xml:space="preserve"> general approach needs to be defined on how to handle bands that exceed the ITU-R recommendations.</w:t>
      </w:r>
    </w:p>
    <w:p w14:paraId="06BD524D" w14:textId="1E6712BB" w:rsidR="00E9528C" w:rsidRDefault="00E9528C" w:rsidP="00E9528C">
      <w:pPr>
        <w:rPr>
          <w:lang w:eastAsia="en-US"/>
        </w:rPr>
      </w:pPr>
      <w:r>
        <w:rPr>
          <w:lang w:eastAsia="en-US"/>
        </w:rPr>
        <w:t>In 38.101-2 [3] the following bands have been currently defined:</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196262" w:rsidRPr="00963101" w14:paraId="3F6718E9" w14:textId="77777777" w:rsidTr="00D011FC">
        <w:trPr>
          <w:jc w:val="center"/>
        </w:trPr>
        <w:tc>
          <w:tcPr>
            <w:tcW w:w="1152" w:type="dxa"/>
            <w:vMerge w:val="restart"/>
            <w:tcBorders>
              <w:top w:val="single" w:sz="4" w:space="0" w:color="auto"/>
              <w:left w:val="single" w:sz="4" w:space="0" w:color="auto"/>
              <w:right w:val="single" w:sz="4" w:space="0" w:color="auto"/>
            </w:tcBorders>
          </w:tcPr>
          <w:p w14:paraId="57C5A15F" w14:textId="77777777" w:rsidR="00196262" w:rsidRPr="00963101" w:rsidRDefault="00196262" w:rsidP="00D011FC">
            <w:pPr>
              <w:pStyle w:val="TAH"/>
            </w:pPr>
            <w:r w:rsidRPr="00963101">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53CC9213" w14:textId="77777777" w:rsidR="00196262" w:rsidRPr="00963101" w:rsidRDefault="00196262" w:rsidP="00D011FC">
            <w:pPr>
              <w:pStyle w:val="TAH"/>
            </w:pPr>
            <w:r w:rsidRPr="00963101">
              <w:t>Uplink (UL) operating band</w:t>
            </w:r>
            <w:r w:rsidRPr="00963101">
              <w:br/>
              <w:t>BS receive</w:t>
            </w:r>
            <w:r w:rsidRPr="00963101">
              <w:br/>
              <w:t>UE transmit</w:t>
            </w:r>
          </w:p>
        </w:tc>
        <w:tc>
          <w:tcPr>
            <w:tcW w:w="2866" w:type="dxa"/>
            <w:gridSpan w:val="3"/>
            <w:tcBorders>
              <w:top w:val="single" w:sz="4" w:space="0" w:color="auto"/>
              <w:left w:val="nil"/>
              <w:bottom w:val="single" w:sz="4" w:space="0" w:color="auto"/>
              <w:right w:val="single" w:sz="4" w:space="0" w:color="auto"/>
            </w:tcBorders>
          </w:tcPr>
          <w:p w14:paraId="6A0CD790" w14:textId="77777777" w:rsidR="00196262" w:rsidRPr="00963101" w:rsidRDefault="00196262" w:rsidP="00D011FC">
            <w:pPr>
              <w:pStyle w:val="TAH"/>
            </w:pPr>
            <w:r w:rsidRPr="00963101">
              <w:t>Downlink (DL) operating band</w:t>
            </w:r>
            <w:r w:rsidRPr="00963101">
              <w:br/>
              <w:t xml:space="preserve">BS transmit </w:t>
            </w:r>
            <w:r w:rsidRPr="00963101">
              <w:br/>
              <w:t>UE receive</w:t>
            </w:r>
          </w:p>
        </w:tc>
        <w:tc>
          <w:tcPr>
            <w:tcW w:w="1051" w:type="dxa"/>
            <w:vMerge w:val="restart"/>
            <w:tcBorders>
              <w:top w:val="single" w:sz="4" w:space="0" w:color="auto"/>
              <w:left w:val="single" w:sz="4" w:space="0" w:color="auto"/>
              <w:right w:val="single" w:sz="4" w:space="0" w:color="auto"/>
            </w:tcBorders>
          </w:tcPr>
          <w:p w14:paraId="09B6A866" w14:textId="77777777" w:rsidR="00196262" w:rsidRPr="00963101" w:rsidRDefault="00196262" w:rsidP="00D011FC">
            <w:pPr>
              <w:pStyle w:val="TAH"/>
            </w:pPr>
            <w:r w:rsidRPr="00963101">
              <w:t>Duplex Mode</w:t>
            </w:r>
          </w:p>
        </w:tc>
      </w:tr>
      <w:tr w:rsidR="00196262" w:rsidRPr="00963101" w14:paraId="2E6C875B" w14:textId="77777777" w:rsidTr="00D011FC">
        <w:trPr>
          <w:jc w:val="center"/>
        </w:trPr>
        <w:tc>
          <w:tcPr>
            <w:tcW w:w="1152" w:type="dxa"/>
            <w:vMerge/>
            <w:tcBorders>
              <w:left w:val="single" w:sz="4" w:space="0" w:color="auto"/>
              <w:bottom w:val="single" w:sz="4" w:space="0" w:color="auto"/>
              <w:right w:val="single" w:sz="4" w:space="0" w:color="auto"/>
            </w:tcBorders>
            <w:vAlign w:val="bottom"/>
          </w:tcPr>
          <w:p w14:paraId="713383E6" w14:textId="77777777" w:rsidR="00196262" w:rsidRPr="00963101" w:rsidRDefault="00196262" w:rsidP="00D011FC">
            <w:pPr>
              <w:pStyle w:val="TAH"/>
            </w:pPr>
          </w:p>
        </w:tc>
        <w:tc>
          <w:tcPr>
            <w:tcW w:w="2693" w:type="dxa"/>
            <w:gridSpan w:val="3"/>
            <w:tcBorders>
              <w:top w:val="single" w:sz="4" w:space="0" w:color="auto"/>
              <w:left w:val="single" w:sz="4" w:space="0" w:color="auto"/>
              <w:bottom w:val="single" w:sz="4" w:space="0" w:color="auto"/>
              <w:right w:val="single" w:sz="4" w:space="0" w:color="auto"/>
            </w:tcBorders>
            <w:vAlign w:val="bottom"/>
          </w:tcPr>
          <w:p w14:paraId="605805EA" w14:textId="77777777" w:rsidR="00196262" w:rsidRPr="00963101" w:rsidRDefault="00196262" w:rsidP="00D011FC">
            <w:pPr>
              <w:pStyle w:val="TAH"/>
            </w:pPr>
            <w:r w:rsidRPr="00963101">
              <w:t>F</w:t>
            </w:r>
            <w:r w:rsidRPr="00963101">
              <w:rPr>
                <w:vertAlign w:val="subscript"/>
              </w:rPr>
              <w:t>UL_low</w:t>
            </w:r>
            <w:r w:rsidRPr="00963101">
              <w:t xml:space="preserve">   –  F</w:t>
            </w:r>
            <w:r w:rsidRPr="00963101">
              <w:rPr>
                <w:vertAlign w:val="subscript"/>
              </w:rPr>
              <w:t>UL_high</w:t>
            </w:r>
          </w:p>
        </w:tc>
        <w:tc>
          <w:tcPr>
            <w:tcW w:w="2866" w:type="dxa"/>
            <w:gridSpan w:val="3"/>
            <w:tcBorders>
              <w:top w:val="single" w:sz="4" w:space="0" w:color="auto"/>
              <w:left w:val="nil"/>
              <w:bottom w:val="single" w:sz="4" w:space="0" w:color="auto"/>
              <w:right w:val="single" w:sz="4" w:space="0" w:color="auto"/>
            </w:tcBorders>
            <w:vAlign w:val="bottom"/>
          </w:tcPr>
          <w:p w14:paraId="2BE7C97C" w14:textId="77777777" w:rsidR="00196262" w:rsidRPr="00963101" w:rsidRDefault="00196262" w:rsidP="00D011FC">
            <w:pPr>
              <w:pStyle w:val="TAH"/>
            </w:pPr>
            <w:r w:rsidRPr="00963101">
              <w:t>F</w:t>
            </w:r>
            <w:r w:rsidRPr="00963101">
              <w:rPr>
                <w:vertAlign w:val="subscript"/>
              </w:rPr>
              <w:t>DL_low</w:t>
            </w:r>
            <w:r w:rsidRPr="00963101">
              <w:t xml:space="preserve">   –  F</w:t>
            </w:r>
            <w:r w:rsidRPr="00963101">
              <w:rPr>
                <w:vertAlign w:val="subscript"/>
              </w:rPr>
              <w:t>DL_high</w:t>
            </w:r>
          </w:p>
        </w:tc>
        <w:tc>
          <w:tcPr>
            <w:tcW w:w="1051" w:type="dxa"/>
            <w:vMerge/>
            <w:tcBorders>
              <w:left w:val="single" w:sz="4" w:space="0" w:color="auto"/>
              <w:bottom w:val="single" w:sz="4" w:space="0" w:color="auto"/>
              <w:right w:val="single" w:sz="4" w:space="0" w:color="auto"/>
            </w:tcBorders>
            <w:vAlign w:val="bottom"/>
          </w:tcPr>
          <w:p w14:paraId="76296DF7" w14:textId="77777777" w:rsidR="00196262" w:rsidRPr="00963101" w:rsidRDefault="00196262" w:rsidP="00D011FC">
            <w:pPr>
              <w:pStyle w:val="TAH"/>
            </w:pPr>
          </w:p>
        </w:tc>
      </w:tr>
      <w:tr w:rsidR="00196262" w:rsidRPr="00963101" w14:paraId="3FF0BA41" w14:textId="77777777" w:rsidTr="00D011F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149173D2" w14:textId="77777777" w:rsidR="00196262" w:rsidRPr="00963101" w:rsidRDefault="00196262" w:rsidP="00D011FC">
            <w:pPr>
              <w:pStyle w:val="TAC"/>
            </w:pPr>
            <w:r w:rsidRPr="00963101">
              <w:t>n257</w:t>
            </w:r>
          </w:p>
        </w:tc>
        <w:tc>
          <w:tcPr>
            <w:tcW w:w="1210" w:type="dxa"/>
            <w:tcBorders>
              <w:top w:val="single" w:sz="4" w:space="0" w:color="auto"/>
              <w:left w:val="single" w:sz="4" w:space="0" w:color="auto"/>
              <w:bottom w:val="single" w:sz="4" w:space="0" w:color="auto"/>
              <w:right w:val="nil"/>
            </w:tcBorders>
            <w:vAlign w:val="bottom"/>
          </w:tcPr>
          <w:p w14:paraId="2B14F6E3" w14:textId="77777777" w:rsidR="00196262" w:rsidRPr="00963101" w:rsidRDefault="00196262" w:rsidP="00D011FC">
            <w:pPr>
              <w:pStyle w:val="TAR"/>
              <w:rPr>
                <w:rFonts w:cs="Arial"/>
              </w:rPr>
            </w:pPr>
            <w:r w:rsidRPr="00963101">
              <w:rPr>
                <w:rFonts w:cs="Arial"/>
                <w:szCs w:val="18"/>
              </w:rPr>
              <w:t>26500 MHz</w:t>
            </w:r>
          </w:p>
        </w:tc>
        <w:tc>
          <w:tcPr>
            <w:tcW w:w="270" w:type="dxa"/>
            <w:tcBorders>
              <w:top w:val="single" w:sz="4" w:space="0" w:color="auto"/>
              <w:left w:val="nil"/>
              <w:bottom w:val="single" w:sz="4" w:space="0" w:color="auto"/>
              <w:right w:val="nil"/>
            </w:tcBorders>
            <w:vAlign w:val="bottom"/>
          </w:tcPr>
          <w:p w14:paraId="5E5033C3" w14:textId="77777777" w:rsidR="00196262" w:rsidRPr="00963101" w:rsidRDefault="00196262" w:rsidP="00D011FC">
            <w:pPr>
              <w:pStyle w:val="TAC"/>
            </w:pPr>
            <w:r w:rsidRPr="00963101">
              <w:t>–</w:t>
            </w:r>
          </w:p>
        </w:tc>
        <w:tc>
          <w:tcPr>
            <w:tcW w:w="1213" w:type="dxa"/>
            <w:tcBorders>
              <w:top w:val="single" w:sz="4" w:space="0" w:color="auto"/>
              <w:left w:val="nil"/>
              <w:bottom w:val="single" w:sz="4" w:space="0" w:color="auto"/>
              <w:right w:val="single" w:sz="4" w:space="0" w:color="auto"/>
            </w:tcBorders>
            <w:vAlign w:val="bottom"/>
          </w:tcPr>
          <w:p w14:paraId="45DE9CC0" w14:textId="77777777" w:rsidR="00196262" w:rsidRPr="00963101" w:rsidRDefault="00196262" w:rsidP="00D011FC">
            <w:pPr>
              <w:pStyle w:val="TAL"/>
            </w:pPr>
            <w:r w:rsidRPr="00963101">
              <w:t xml:space="preserve">29500 MHz </w:t>
            </w:r>
          </w:p>
        </w:tc>
        <w:tc>
          <w:tcPr>
            <w:tcW w:w="1156" w:type="dxa"/>
            <w:tcBorders>
              <w:top w:val="single" w:sz="4" w:space="0" w:color="auto"/>
              <w:left w:val="nil"/>
              <w:bottom w:val="single" w:sz="4" w:space="0" w:color="auto"/>
              <w:right w:val="nil"/>
            </w:tcBorders>
            <w:vAlign w:val="bottom"/>
          </w:tcPr>
          <w:p w14:paraId="08305496" w14:textId="77777777" w:rsidR="00196262" w:rsidRPr="00963101" w:rsidRDefault="00196262" w:rsidP="00D011FC">
            <w:pPr>
              <w:pStyle w:val="TAR"/>
              <w:rPr>
                <w:rFonts w:cs="Arial"/>
              </w:rPr>
            </w:pPr>
            <w:r w:rsidRPr="00963101">
              <w:rPr>
                <w:rFonts w:cs="Arial"/>
                <w:szCs w:val="18"/>
              </w:rPr>
              <w:t>26500 MHz</w:t>
            </w:r>
          </w:p>
        </w:tc>
        <w:tc>
          <w:tcPr>
            <w:tcW w:w="241" w:type="dxa"/>
            <w:tcBorders>
              <w:top w:val="single" w:sz="4" w:space="0" w:color="auto"/>
              <w:left w:val="nil"/>
              <w:bottom w:val="single" w:sz="4" w:space="0" w:color="auto"/>
              <w:right w:val="nil"/>
            </w:tcBorders>
            <w:vAlign w:val="bottom"/>
          </w:tcPr>
          <w:p w14:paraId="4129A202" w14:textId="77777777" w:rsidR="00196262" w:rsidRPr="00963101" w:rsidRDefault="00196262" w:rsidP="00D011FC">
            <w:pPr>
              <w:pStyle w:val="TAC"/>
            </w:pPr>
            <w:r w:rsidRPr="00963101">
              <w:t>–</w:t>
            </w:r>
          </w:p>
        </w:tc>
        <w:tc>
          <w:tcPr>
            <w:tcW w:w="1469" w:type="dxa"/>
            <w:tcBorders>
              <w:top w:val="single" w:sz="4" w:space="0" w:color="auto"/>
              <w:left w:val="nil"/>
              <w:bottom w:val="single" w:sz="4" w:space="0" w:color="auto"/>
              <w:right w:val="single" w:sz="4" w:space="0" w:color="auto"/>
            </w:tcBorders>
            <w:vAlign w:val="bottom"/>
          </w:tcPr>
          <w:p w14:paraId="7539044F" w14:textId="77777777" w:rsidR="00196262" w:rsidRPr="00963101" w:rsidRDefault="00196262" w:rsidP="00D011FC">
            <w:pPr>
              <w:pStyle w:val="TAL"/>
            </w:pPr>
            <w:r w:rsidRPr="00963101">
              <w:t xml:space="preserve">29500 MHz </w:t>
            </w:r>
          </w:p>
        </w:tc>
        <w:tc>
          <w:tcPr>
            <w:tcW w:w="1051" w:type="dxa"/>
            <w:tcBorders>
              <w:top w:val="single" w:sz="4" w:space="0" w:color="auto"/>
              <w:left w:val="single" w:sz="4" w:space="0" w:color="auto"/>
              <w:bottom w:val="single" w:sz="4" w:space="0" w:color="auto"/>
              <w:right w:val="single" w:sz="4" w:space="0" w:color="auto"/>
            </w:tcBorders>
            <w:vAlign w:val="bottom"/>
          </w:tcPr>
          <w:p w14:paraId="276745E2" w14:textId="77777777" w:rsidR="00196262" w:rsidRPr="00963101" w:rsidRDefault="00196262" w:rsidP="00D011FC">
            <w:pPr>
              <w:pStyle w:val="TAC"/>
            </w:pPr>
            <w:r w:rsidRPr="00963101">
              <w:t>TDD</w:t>
            </w:r>
          </w:p>
        </w:tc>
      </w:tr>
      <w:tr w:rsidR="00196262" w:rsidRPr="00963101" w14:paraId="219CF836" w14:textId="77777777" w:rsidTr="00D011F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11263093" w14:textId="77777777" w:rsidR="00196262" w:rsidRPr="00963101" w:rsidRDefault="00196262" w:rsidP="00D011FC">
            <w:pPr>
              <w:pStyle w:val="TAC"/>
            </w:pPr>
            <w:r w:rsidRPr="00963101">
              <w:t>n258</w:t>
            </w:r>
          </w:p>
        </w:tc>
        <w:tc>
          <w:tcPr>
            <w:tcW w:w="1210" w:type="dxa"/>
            <w:tcBorders>
              <w:top w:val="single" w:sz="4" w:space="0" w:color="auto"/>
              <w:left w:val="single" w:sz="4" w:space="0" w:color="auto"/>
              <w:bottom w:val="single" w:sz="4" w:space="0" w:color="auto"/>
              <w:right w:val="nil"/>
            </w:tcBorders>
            <w:vAlign w:val="bottom"/>
          </w:tcPr>
          <w:p w14:paraId="01222C88" w14:textId="77777777" w:rsidR="00196262" w:rsidRPr="00963101" w:rsidRDefault="00196262" w:rsidP="00D011FC">
            <w:pPr>
              <w:pStyle w:val="TAR"/>
              <w:rPr>
                <w:rFonts w:cs="Arial"/>
              </w:rPr>
            </w:pPr>
            <w:r w:rsidRPr="00963101">
              <w:rPr>
                <w:rFonts w:cs="Arial"/>
                <w:szCs w:val="18"/>
              </w:rPr>
              <w:t>24250 MHz</w:t>
            </w:r>
          </w:p>
        </w:tc>
        <w:tc>
          <w:tcPr>
            <w:tcW w:w="270" w:type="dxa"/>
            <w:tcBorders>
              <w:top w:val="single" w:sz="4" w:space="0" w:color="auto"/>
              <w:left w:val="nil"/>
              <w:bottom w:val="single" w:sz="4" w:space="0" w:color="auto"/>
              <w:right w:val="nil"/>
            </w:tcBorders>
            <w:vAlign w:val="bottom"/>
          </w:tcPr>
          <w:p w14:paraId="17130891" w14:textId="77777777" w:rsidR="00196262" w:rsidRPr="00963101" w:rsidRDefault="00196262" w:rsidP="00D011FC">
            <w:pPr>
              <w:pStyle w:val="TAC"/>
            </w:pPr>
            <w:r w:rsidRPr="00963101">
              <w:t>–</w:t>
            </w:r>
          </w:p>
        </w:tc>
        <w:tc>
          <w:tcPr>
            <w:tcW w:w="1213" w:type="dxa"/>
            <w:tcBorders>
              <w:top w:val="single" w:sz="4" w:space="0" w:color="auto"/>
              <w:left w:val="nil"/>
              <w:bottom w:val="single" w:sz="4" w:space="0" w:color="auto"/>
              <w:right w:val="single" w:sz="4" w:space="0" w:color="auto"/>
            </w:tcBorders>
            <w:vAlign w:val="bottom"/>
          </w:tcPr>
          <w:p w14:paraId="503C6E21" w14:textId="77777777" w:rsidR="00196262" w:rsidRPr="00963101" w:rsidRDefault="00196262" w:rsidP="00D011FC">
            <w:pPr>
              <w:pStyle w:val="TAL"/>
            </w:pPr>
            <w:r w:rsidRPr="00963101">
              <w:t>27500 MHz</w:t>
            </w:r>
          </w:p>
        </w:tc>
        <w:tc>
          <w:tcPr>
            <w:tcW w:w="1156" w:type="dxa"/>
            <w:tcBorders>
              <w:top w:val="single" w:sz="4" w:space="0" w:color="auto"/>
              <w:left w:val="nil"/>
              <w:bottom w:val="single" w:sz="4" w:space="0" w:color="auto"/>
              <w:right w:val="nil"/>
            </w:tcBorders>
            <w:vAlign w:val="bottom"/>
          </w:tcPr>
          <w:p w14:paraId="3959C9F5" w14:textId="77777777" w:rsidR="00196262" w:rsidRPr="00963101" w:rsidRDefault="00196262" w:rsidP="00D011FC">
            <w:pPr>
              <w:pStyle w:val="TAR"/>
              <w:rPr>
                <w:rFonts w:cs="Arial"/>
              </w:rPr>
            </w:pPr>
            <w:r w:rsidRPr="00963101">
              <w:rPr>
                <w:rFonts w:cs="Arial"/>
                <w:szCs w:val="18"/>
              </w:rPr>
              <w:t>24250 MHz</w:t>
            </w:r>
          </w:p>
        </w:tc>
        <w:tc>
          <w:tcPr>
            <w:tcW w:w="241" w:type="dxa"/>
            <w:tcBorders>
              <w:top w:val="single" w:sz="4" w:space="0" w:color="auto"/>
              <w:left w:val="nil"/>
              <w:bottom w:val="single" w:sz="4" w:space="0" w:color="auto"/>
              <w:right w:val="nil"/>
            </w:tcBorders>
            <w:vAlign w:val="bottom"/>
          </w:tcPr>
          <w:p w14:paraId="44A5959E" w14:textId="77777777" w:rsidR="00196262" w:rsidRPr="00963101" w:rsidRDefault="00196262" w:rsidP="00D011FC">
            <w:pPr>
              <w:pStyle w:val="TAC"/>
            </w:pPr>
            <w:r w:rsidRPr="00963101">
              <w:t>–</w:t>
            </w:r>
          </w:p>
        </w:tc>
        <w:tc>
          <w:tcPr>
            <w:tcW w:w="1469" w:type="dxa"/>
            <w:tcBorders>
              <w:top w:val="single" w:sz="4" w:space="0" w:color="auto"/>
              <w:left w:val="nil"/>
              <w:bottom w:val="single" w:sz="4" w:space="0" w:color="auto"/>
              <w:right w:val="single" w:sz="4" w:space="0" w:color="auto"/>
            </w:tcBorders>
            <w:vAlign w:val="bottom"/>
          </w:tcPr>
          <w:p w14:paraId="1F69B188" w14:textId="77777777" w:rsidR="00196262" w:rsidRPr="00963101" w:rsidRDefault="00196262" w:rsidP="00D011FC">
            <w:pPr>
              <w:pStyle w:val="TAL"/>
            </w:pPr>
            <w:r w:rsidRPr="00963101">
              <w:t>27500 MHz</w:t>
            </w:r>
          </w:p>
        </w:tc>
        <w:tc>
          <w:tcPr>
            <w:tcW w:w="1051" w:type="dxa"/>
            <w:tcBorders>
              <w:top w:val="single" w:sz="4" w:space="0" w:color="auto"/>
              <w:left w:val="single" w:sz="4" w:space="0" w:color="auto"/>
              <w:bottom w:val="single" w:sz="4" w:space="0" w:color="auto"/>
              <w:right w:val="single" w:sz="4" w:space="0" w:color="auto"/>
            </w:tcBorders>
            <w:vAlign w:val="bottom"/>
          </w:tcPr>
          <w:p w14:paraId="34CC6DCC" w14:textId="77777777" w:rsidR="00196262" w:rsidRPr="00963101" w:rsidRDefault="00196262" w:rsidP="00D011FC">
            <w:pPr>
              <w:pStyle w:val="TAC"/>
            </w:pPr>
            <w:r w:rsidRPr="00963101">
              <w:t>TDD</w:t>
            </w:r>
          </w:p>
        </w:tc>
      </w:tr>
      <w:tr w:rsidR="00196262" w:rsidRPr="00963101" w14:paraId="11162CE0" w14:textId="77777777" w:rsidTr="00D011F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1DEB05F0" w14:textId="77777777" w:rsidR="00196262" w:rsidRPr="00963101" w:rsidRDefault="00196262" w:rsidP="00D011FC">
            <w:pPr>
              <w:pStyle w:val="TAC"/>
            </w:pPr>
            <w:r w:rsidRPr="00963101">
              <w:t>n260</w:t>
            </w:r>
          </w:p>
        </w:tc>
        <w:tc>
          <w:tcPr>
            <w:tcW w:w="1210" w:type="dxa"/>
            <w:tcBorders>
              <w:top w:val="single" w:sz="4" w:space="0" w:color="auto"/>
              <w:left w:val="single" w:sz="4" w:space="0" w:color="auto"/>
              <w:bottom w:val="single" w:sz="4" w:space="0" w:color="auto"/>
              <w:right w:val="nil"/>
            </w:tcBorders>
            <w:vAlign w:val="bottom"/>
          </w:tcPr>
          <w:p w14:paraId="5C4F8541" w14:textId="77777777" w:rsidR="00196262" w:rsidRPr="00963101" w:rsidRDefault="00196262" w:rsidP="00D011FC">
            <w:pPr>
              <w:pStyle w:val="TAR"/>
              <w:rPr>
                <w:rFonts w:cs="Arial"/>
              </w:rPr>
            </w:pPr>
            <w:r w:rsidRPr="00963101">
              <w:rPr>
                <w:rFonts w:cs="Arial"/>
                <w:szCs w:val="18"/>
              </w:rPr>
              <w:t>37000 MHz</w:t>
            </w:r>
          </w:p>
        </w:tc>
        <w:tc>
          <w:tcPr>
            <w:tcW w:w="270" w:type="dxa"/>
            <w:tcBorders>
              <w:top w:val="single" w:sz="4" w:space="0" w:color="auto"/>
              <w:left w:val="nil"/>
              <w:bottom w:val="single" w:sz="4" w:space="0" w:color="auto"/>
              <w:right w:val="nil"/>
            </w:tcBorders>
            <w:vAlign w:val="bottom"/>
          </w:tcPr>
          <w:p w14:paraId="71B7E9E0" w14:textId="77777777" w:rsidR="00196262" w:rsidRPr="00963101" w:rsidRDefault="00196262" w:rsidP="00D011FC">
            <w:pPr>
              <w:pStyle w:val="TAC"/>
            </w:pPr>
            <w:r w:rsidRPr="00963101">
              <w:t>–</w:t>
            </w:r>
          </w:p>
        </w:tc>
        <w:tc>
          <w:tcPr>
            <w:tcW w:w="1213" w:type="dxa"/>
            <w:tcBorders>
              <w:top w:val="single" w:sz="4" w:space="0" w:color="auto"/>
              <w:left w:val="nil"/>
              <w:bottom w:val="single" w:sz="4" w:space="0" w:color="auto"/>
              <w:right w:val="single" w:sz="4" w:space="0" w:color="auto"/>
            </w:tcBorders>
            <w:vAlign w:val="bottom"/>
          </w:tcPr>
          <w:p w14:paraId="3794195B" w14:textId="77777777" w:rsidR="00196262" w:rsidRPr="00963101" w:rsidRDefault="00196262" w:rsidP="00D011FC">
            <w:pPr>
              <w:pStyle w:val="TAL"/>
            </w:pPr>
            <w:r w:rsidRPr="00963101">
              <w:t>40000 MHz</w:t>
            </w:r>
          </w:p>
        </w:tc>
        <w:tc>
          <w:tcPr>
            <w:tcW w:w="1156" w:type="dxa"/>
            <w:tcBorders>
              <w:top w:val="single" w:sz="4" w:space="0" w:color="auto"/>
              <w:left w:val="nil"/>
              <w:bottom w:val="single" w:sz="4" w:space="0" w:color="auto"/>
              <w:right w:val="nil"/>
            </w:tcBorders>
            <w:vAlign w:val="bottom"/>
          </w:tcPr>
          <w:p w14:paraId="479D8FF3" w14:textId="77777777" w:rsidR="00196262" w:rsidRPr="00963101" w:rsidRDefault="00196262" w:rsidP="00D011FC">
            <w:pPr>
              <w:pStyle w:val="TAR"/>
              <w:rPr>
                <w:rFonts w:cs="Arial"/>
              </w:rPr>
            </w:pPr>
            <w:r w:rsidRPr="00963101">
              <w:rPr>
                <w:rFonts w:cs="Arial"/>
                <w:szCs w:val="18"/>
              </w:rPr>
              <w:t>37000 MHz</w:t>
            </w:r>
          </w:p>
        </w:tc>
        <w:tc>
          <w:tcPr>
            <w:tcW w:w="241" w:type="dxa"/>
            <w:tcBorders>
              <w:top w:val="single" w:sz="4" w:space="0" w:color="auto"/>
              <w:left w:val="nil"/>
              <w:bottom w:val="single" w:sz="4" w:space="0" w:color="auto"/>
              <w:right w:val="nil"/>
            </w:tcBorders>
            <w:vAlign w:val="bottom"/>
          </w:tcPr>
          <w:p w14:paraId="02A83998" w14:textId="77777777" w:rsidR="00196262" w:rsidRPr="00963101" w:rsidRDefault="00196262" w:rsidP="00D011FC">
            <w:pPr>
              <w:pStyle w:val="TAC"/>
            </w:pPr>
            <w:r w:rsidRPr="00963101">
              <w:t>–</w:t>
            </w:r>
          </w:p>
        </w:tc>
        <w:tc>
          <w:tcPr>
            <w:tcW w:w="1469" w:type="dxa"/>
            <w:tcBorders>
              <w:top w:val="single" w:sz="4" w:space="0" w:color="auto"/>
              <w:left w:val="nil"/>
              <w:bottom w:val="single" w:sz="4" w:space="0" w:color="auto"/>
              <w:right w:val="single" w:sz="4" w:space="0" w:color="auto"/>
            </w:tcBorders>
            <w:vAlign w:val="bottom"/>
          </w:tcPr>
          <w:p w14:paraId="0AB6274E" w14:textId="77777777" w:rsidR="00196262" w:rsidRPr="00963101" w:rsidRDefault="00196262" w:rsidP="00D011FC">
            <w:pPr>
              <w:pStyle w:val="TAL"/>
            </w:pPr>
            <w:r w:rsidRPr="00963101">
              <w:t>40000 MHz</w:t>
            </w:r>
          </w:p>
        </w:tc>
        <w:tc>
          <w:tcPr>
            <w:tcW w:w="1051" w:type="dxa"/>
            <w:tcBorders>
              <w:top w:val="single" w:sz="4" w:space="0" w:color="auto"/>
              <w:left w:val="single" w:sz="4" w:space="0" w:color="auto"/>
              <w:bottom w:val="single" w:sz="4" w:space="0" w:color="auto"/>
              <w:right w:val="single" w:sz="4" w:space="0" w:color="auto"/>
            </w:tcBorders>
            <w:vAlign w:val="bottom"/>
          </w:tcPr>
          <w:p w14:paraId="090E9FD4" w14:textId="77777777" w:rsidR="00196262" w:rsidRPr="00963101" w:rsidRDefault="00196262" w:rsidP="00D011FC">
            <w:pPr>
              <w:pStyle w:val="TAC"/>
            </w:pPr>
            <w:r w:rsidRPr="00963101">
              <w:t>TDD</w:t>
            </w:r>
          </w:p>
        </w:tc>
      </w:tr>
      <w:tr w:rsidR="00196262" w:rsidRPr="00963101" w14:paraId="16F65672" w14:textId="77777777" w:rsidTr="00D011FC">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1AC43FAF" w14:textId="77777777" w:rsidR="00196262" w:rsidRPr="00963101" w:rsidRDefault="00196262" w:rsidP="00D011FC">
            <w:pPr>
              <w:pStyle w:val="TAC"/>
            </w:pPr>
            <w:r w:rsidRPr="00963101">
              <w:rPr>
                <w:rFonts w:cs="Arial"/>
                <w:szCs w:val="18"/>
              </w:rPr>
              <w:t>n261</w:t>
            </w:r>
          </w:p>
        </w:tc>
        <w:tc>
          <w:tcPr>
            <w:tcW w:w="1210" w:type="dxa"/>
            <w:tcBorders>
              <w:top w:val="single" w:sz="4" w:space="0" w:color="auto"/>
              <w:left w:val="single" w:sz="4" w:space="0" w:color="auto"/>
              <w:bottom w:val="single" w:sz="4" w:space="0" w:color="auto"/>
              <w:right w:val="nil"/>
            </w:tcBorders>
            <w:vAlign w:val="bottom"/>
          </w:tcPr>
          <w:p w14:paraId="75CBD2E5" w14:textId="77777777" w:rsidR="00196262" w:rsidRPr="00963101" w:rsidRDefault="00196262" w:rsidP="00D011FC">
            <w:pPr>
              <w:pStyle w:val="TAR"/>
              <w:rPr>
                <w:rFonts w:cs="Arial"/>
                <w:szCs w:val="18"/>
              </w:rPr>
            </w:pPr>
            <w:r w:rsidRPr="00963101">
              <w:rPr>
                <w:rFonts w:cs="Arial"/>
                <w:szCs w:val="18"/>
              </w:rPr>
              <w:t>27500 MHz</w:t>
            </w:r>
          </w:p>
        </w:tc>
        <w:tc>
          <w:tcPr>
            <w:tcW w:w="270" w:type="dxa"/>
            <w:tcBorders>
              <w:top w:val="single" w:sz="4" w:space="0" w:color="auto"/>
              <w:left w:val="nil"/>
              <w:bottom w:val="single" w:sz="4" w:space="0" w:color="auto"/>
              <w:right w:val="nil"/>
            </w:tcBorders>
            <w:vAlign w:val="bottom"/>
          </w:tcPr>
          <w:p w14:paraId="27668F7B" w14:textId="77777777" w:rsidR="00196262" w:rsidRPr="00963101" w:rsidRDefault="00196262" w:rsidP="00D011FC">
            <w:pPr>
              <w:pStyle w:val="TAC"/>
            </w:pPr>
            <w:r w:rsidRPr="00963101">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249B37EE" w14:textId="77777777" w:rsidR="00196262" w:rsidRPr="00963101" w:rsidRDefault="00196262" w:rsidP="00D011FC">
            <w:pPr>
              <w:pStyle w:val="TAL"/>
            </w:pPr>
            <w:r w:rsidRPr="00963101">
              <w:rPr>
                <w:rFonts w:cs="Arial"/>
                <w:szCs w:val="18"/>
              </w:rPr>
              <w:t>28350 MHz</w:t>
            </w:r>
          </w:p>
        </w:tc>
        <w:tc>
          <w:tcPr>
            <w:tcW w:w="1156" w:type="dxa"/>
            <w:tcBorders>
              <w:top w:val="single" w:sz="4" w:space="0" w:color="auto"/>
              <w:left w:val="nil"/>
              <w:bottom w:val="single" w:sz="4" w:space="0" w:color="auto"/>
              <w:right w:val="nil"/>
            </w:tcBorders>
            <w:vAlign w:val="bottom"/>
          </w:tcPr>
          <w:p w14:paraId="71BD5B8E" w14:textId="77777777" w:rsidR="00196262" w:rsidRPr="00963101" w:rsidRDefault="00196262" w:rsidP="00D011FC">
            <w:pPr>
              <w:pStyle w:val="TAR"/>
              <w:rPr>
                <w:rFonts w:cs="Arial"/>
                <w:szCs w:val="18"/>
              </w:rPr>
            </w:pPr>
            <w:r w:rsidRPr="00963101">
              <w:rPr>
                <w:rFonts w:cs="Arial"/>
                <w:szCs w:val="18"/>
              </w:rPr>
              <w:t>27500 MHz</w:t>
            </w:r>
          </w:p>
        </w:tc>
        <w:tc>
          <w:tcPr>
            <w:tcW w:w="241" w:type="dxa"/>
            <w:tcBorders>
              <w:top w:val="single" w:sz="4" w:space="0" w:color="auto"/>
              <w:left w:val="nil"/>
              <w:bottom w:val="single" w:sz="4" w:space="0" w:color="auto"/>
              <w:right w:val="nil"/>
            </w:tcBorders>
            <w:vAlign w:val="bottom"/>
          </w:tcPr>
          <w:p w14:paraId="086E5C56" w14:textId="77777777" w:rsidR="00196262" w:rsidRPr="00963101" w:rsidRDefault="00196262" w:rsidP="00D011FC">
            <w:pPr>
              <w:pStyle w:val="TAC"/>
            </w:pPr>
            <w:r w:rsidRPr="00963101">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0CD90B90" w14:textId="77777777" w:rsidR="00196262" w:rsidRPr="00963101" w:rsidRDefault="00196262" w:rsidP="00D011FC">
            <w:pPr>
              <w:pStyle w:val="TAL"/>
            </w:pPr>
            <w:r w:rsidRPr="00963101">
              <w:rPr>
                <w:rFonts w:cs="Arial"/>
                <w:szCs w:val="18"/>
              </w:rPr>
              <w:t>28350 MHz</w:t>
            </w:r>
          </w:p>
        </w:tc>
        <w:tc>
          <w:tcPr>
            <w:tcW w:w="1051" w:type="dxa"/>
            <w:tcBorders>
              <w:top w:val="single" w:sz="4" w:space="0" w:color="auto"/>
              <w:left w:val="single" w:sz="4" w:space="0" w:color="auto"/>
              <w:bottom w:val="single" w:sz="4" w:space="0" w:color="auto"/>
              <w:right w:val="single" w:sz="4" w:space="0" w:color="auto"/>
            </w:tcBorders>
            <w:vAlign w:val="bottom"/>
          </w:tcPr>
          <w:p w14:paraId="7D9D4F40" w14:textId="77777777" w:rsidR="00196262" w:rsidRPr="00963101" w:rsidRDefault="00196262" w:rsidP="00196262">
            <w:pPr>
              <w:pStyle w:val="TAC"/>
            </w:pPr>
            <w:r w:rsidRPr="00963101">
              <w:rPr>
                <w:rFonts w:cs="Arial"/>
                <w:szCs w:val="18"/>
              </w:rPr>
              <w:t>TDD</w:t>
            </w:r>
          </w:p>
        </w:tc>
      </w:tr>
    </w:tbl>
    <w:p w14:paraId="73466114" w14:textId="1187B738" w:rsidR="00E9528C" w:rsidRDefault="00196262" w:rsidP="00196262">
      <w:pPr>
        <w:pStyle w:val="Beschriftung"/>
        <w:jc w:val="center"/>
      </w:pPr>
      <w:r>
        <w:t xml:space="preserve">Table </w:t>
      </w:r>
      <w:r>
        <w:fldChar w:fldCharType="begin"/>
      </w:r>
      <w:r>
        <w:instrText xml:space="preserve"> SEQ Table \* ARABIC </w:instrText>
      </w:r>
      <w:r>
        <w:fldChar w:fldCharType="separate"/>
      </w:r>
      <w:r w:rsidR="003A1A60">
        <w:rPr>
          <w:noProof/>
        </w:rPr>
        <w:t>3</w:t>
      </w:r>
      <w:r>
        <w:fldChar w:fldCharType="end"/>
      </w:r>
      <w:r>
        <w:t xml:space="preserve"> Frequency bands in FR2 [3]</w:t>
      </w:r>
    </w:p>
    <w:p w14:paraId="38A7FD05" w14:textId="07B09DED" w:rsidR="00E9528C" w:rsidRDefault="00E9528C" w:rsidP="00E9528C">
      <w:pPr>
        <w:rPr>
          <w:lang w:eastAsia="en-US"/>
        </w:rPr>
      </w:pPr>
      <w:r>
        <w:rPr>
          <w:lang w:eastAsia="en-US"/>
        </w:rPr>
        <w:t>As it can be easily seen these bands currently cover a frequency range up to 40GHz. In 38.817 a band up to 43.5 GHz has already been included and for Rel-16 even higher frequencies may be under discussion.</w:t>
      </w:r>
    </w:p>
    <w:p w14:paraId="36FC8EF7" w14:textId="48D197DA" w:rsidR="00DE5E87" w:rsidRDefault="00DE5E87" w:rsidP="00DE5E87">
      <w:pPr>
        <w:pStyle w:val="berschrift2"/>
        <w:rPr>
          <w:lang w:val="en-US"/>
        </w:rPr>
      </w:pPr>
      <w:r>
        <w:rPr>
          <w:lang w:val="en-US"/>
        </w:rPr>
        <w:t>Test system and DUT considerations</w:t>
      </w:r>
    </w:p>
    <w:p w14:paraId="37EED68C" w14:textId="6C935648" w:rsidR="00196262" w:rsidRDefault="00E9528C" w:rsidP="00E9528C">
      <w:pPr>
        <w:rPr>
          <w:lang w:eastAsia="en-US"/>
        </w:rPr>
      </w:pPr>
      <w:r>
        <w:rPr>
          <w:lang w:eastAsia="en-US"/>
        </w:rPr>
        <w:t>Extending the required frequency for testing further and further will pose significant requirements on the test system that need to be considered.</w:t>
      </w:r>
      <w:r w:rsidR="00471925">
        <w:rPr>
          <w:lang w:eastAsia="en-US"/>
        </w:rPr>
        <w:t xml:space="preserve"> For example by simply extending the frequency beyond 26GHz, this requires replacing the cables and connectors of the system with a different type since now it is no longer feasible to use 3.5mm cables, but instead at least K type </w:t>
      </w:r>
      <w:r w:rsidR="00F25CC5">
        <w:rPr>
          <w:lang w:eastAsia="en-US"/>
        </w:rPr>
        <w:t xml:space="preserve">connectors </w:t>
      </w:r>
      <w:r w:rsidR="00471925">
        <w:rPr>
          <w:lang w:eastAsia="en-US"/>
        </w:rPr>
        <w:t>are required which work up to 40GHz.</w:t>
      </w:r>
      <w:r w:rsidR="00196262">
        <w:rPr>
          <w:lang w:eastAsia="en-US"/>
        </w:rPr>
        <w:t xml:space="preserve"> The same then of course applies for other parts of the system like amplifiers, switches etc. </w:t>
      </w:r>
    </w:p>
    <w:p w14:paraId="2BC69D31" w14:textId="1B60E784" w:rsidR="00196262" w:rsidRDefault="00196262" w:rsidP="00E9528C">
      <w:pPr>
        <w:rPr>
          <w:lang w:eastAsia="en-US"/>
        </w:rPr>
      </w:pPr>
      <w:r>
        <w:rPr>
          <w:lang w:eastAsia="en-US"/>
        </w:rPr>
        <w:t>Since in this case this is a conducted test, these changes will also directly impact the signaling characteristics of the system, because over the same UE connectors that are used for measuring the spurious emissions also the connection from the test system to the UE needs to be maintained.</w:t>
      </w:r>
    </w:p>
    <w:p w14:paraId="6F9E70EB" w14:textId="7D2F879C" w:rsidR="00196262" w:rsidRDefault="00196262" w:rsidP="00E9528C">
      <w:pPr>
        <w:rPr>
          <w:lang w:eastAsia="en-US"/>
        </w:rPr>
      </w:pPr>
      <w:r>
        <w:rPr>
          <w:lang w:eastAsia="en-US"/>
        </w:rPr>
        <w:lastRenderedPageBreak/>
        <w:t>So not only will increasing the required measurement frequency for the spurious test impact the spurious emis</w:t>
      </w:r>
      <w:r w:rsidR="001D7A71">
        <w:rPr>
          <w:lang w:eastAsia="en-US"/>
        </w:rPr>
        <w:t>sion test itself, but may also negatively</w:t>
      </w:r>
      <w:r>
        <w:rPr>
          <w:lang w:eastAsia="en-US"/>
        </w:rPr>
        <w:t xml:space="preserve"> impact all the remaining TCs</w:t>
      </w:r>
      <w:r w:rsidR="001D7A71">
        <w:rPr>
          <w:lang w:eastAsia="en-US"/>
        </w:rPr>
        <w:t>.</w:t>
      </w:r>
    </w:p>
    <w:p w14:paraId="163C37C0" w14:textId="2685C488" w:rsidR="00196262" w:rsidRDefault="00196262" w:rsidP="00E9528C">
      <w:pPr>
        <w:rPr>
          <w:b/>
          <w:lang w:eastAsia="en-US"/>
        </w:rPr>
      </w:pPr>
      <w:r w:rsidRPr="00196262">
        <w:rPr>
          <w:b/>
          <w:lang w:eastAsia="en-US"/>
        </w:rPr>
        <w:t>Observation</w:t>
      </w:r>
      <w:r w:rsidR="008B563F">
        <w:rPr>
          <w:b/>
          <w:lang w:eastAsia="en-US"/>
        </w:rPr>
        <w:t xml:space="preserve"> 1</w:t>
      </w:r>
      <w:r w:rsidRPr="00196262">
        <w:rPr>
          <w:b/>
          <w:lang w:eastAsia="en-US"/>
        </w:rPr>
        <w:t>: Increasing the test frequency of the spurious emission requirements impacts other TCs as well.</w:t>
      </w:r>
    </w:p>
    <w:p w14:paraId="394BE387" w14:textId="43DF8BF6" w:rsidR="00DE5E87" w:rsidRPr="00DE5E87" w:rsidRDefault="00DE5E87" w:rsidP="00E9528C">
      <w:pPr>
        <w:rPr>
          <w:lang w:eastAsia="en-US"/>
        </w:rPr>
      </w:pPr>
      <w:r w:rsidRPr="00196262">
        <w:rPr>
          <w:lang w:eastAsia="en-US"/>
        </w:rPr>
        <w:t>For</w:t>
      </w:r>
      <w:r>
        <w:rPr>
          <w:lang w:eastAsia="en-US"/>
        </w:rPr>
        <w:t xml:space="preserve"> up to now only requirements up to 29.5 GHz are included in the specification, however given previous experience new bands are constantly defined. Without limiting the upper frequency up to which the out of band requirements need to be tested, </w:t>
      </w:r>
      <w:r w:rsidR="001D7A71">
        <w:rPr>
          <w:lang w:eastAsia="en-US"/>
        </w:rPr>
        <w:t>there will be large amount of uncertainty with regards to the design of the test system.</w:t>
      </w:r>
    </w:p>
    <w:p w14:paraId="662B3BC1" w14:textId="65B03223" w:rsidR="00DE5E87" w:rsidRDefault="00DE5E87" w:rsidP="00E9528C">
      <w:pPr>
        <w:rPr>
          <w:lang w:eastAsia="en-US"/>
        </w:rPr>
      </w:pPr>
      <w:r w:rsidRPr="00DE5E87">
        <w:rPr>
          <w:lang w:eastAsia="en-US"/>
        </w:rPr>
        <w:t xml:space="preserve">Another </w:t>
      </w:r>
      <w:r>
        <w:rPr>
          <w:lang w:eastAsia="en-US"/>
        </w:rPr>
        <w:t>point to consider is the connection from the antenna port of the DUT to the test system. Depending on the type of the antenna</w:t>
      </w:r>
      <w:r w:rsidR="00A36515">
        <w:rPr>
          <w:lang w:eastAsia="en-US"/>
        </w:rPr>
        <w:t xml:space="preserve"> connector type at the DUT side. T</w:t>
      </w:r>
      <w:r>
        <w:rPr>
          <w:lang w:eastAsia="en-US"/>
        </w:rPr>
        <w:t>h</w:t>
      </w:r>
      <w:r w:rsidR="00A36515">
        <w:rPr>
          <w:lang w:eastAsia="en-US"/>
        </w:rPr>
        <w:t>ese connectors</w:t>
      </w:r>
      <w:r>
        <w:rPr>
          <w:lang w:eastAsia="en-US"/>
        </w:rPr>
        <w:t xml:space="preserve"> in many cases </w:t>
      </w:r>
      <w:r w:rsidR="00A36515">
        <w:rPr>
          <w:lang w:eastAsia="en-US"/>
        </w:rPr>
        <w:t xml:space="preserve">may </w:t>
      </w:r>
      <w:r>
        <w:rPr>
          <w:lang w:eastAsia="en-US"/>
        </w:rPr>
        <w:t xml:space="preserve">not </w:t>
      </w:r>
      <w:r w:rsidR="00A36515">
        <w:rPr>
          <w:lang w:eastAsia="en-US"/>
        </w:rPr>
        <w:t xml:space="preserve">be </w:t>
      </w:r>
      <w:r>
        <w:rPr>
          <w:lang w:eastAsia="en-US"/>
        </w:rPr>
        <w:t xml:space="preserve">suited for </w:t>
      </w:r>
      <w:r w:rsidR="00A36515">
        <w:rPr>
          <w:lang w:eastAsia="en-US"/>
        </w:rPr>
        <w:t xml:space="preserve">testing </w:t>
      </w:r>
      <w:r>
        <w:rPr>
          <w:lang w:eastAsia="en-US"/>
        </w:rPr>
        <w:t>these high frequencies. Some of the typically used connector types are e.g. MCX or MMCX connectors which are optimized to</w:t>
      </w:r>
      <w:r w:rsidR="004353D1">
        <w:rPr>
          <w:lang w:eastAsia="en-US"/>
        </w:rPr>
        <w:t xml:space="preserve"> </w:t>
      </w:r>
      <w:r>
        <w:rPr>
          <w:lang w:eastAsia="en-US"/>
        </w:rPr>
        <w:t>work for the signaling range up to 6 GHz. Other types used may work up to e.g. 18 GHz, which covers the spurious emission range for most bands.</w:t>
      </w:r>
    </w:p>
    <w:p w14:paraId="4129BC8D" w14:textId="4AEBA633" w:rsidR="00DE5E87" w:rsidRDefault="00DE5E87" w:rsidP="00E9528C">
      <w:pPr>
        <w:rPr>
          <w:lang w:eastAsia="en-US"/>
        </w:rPr>
      </w:pPr>
      <w:r>
        <w:rPr>
          <w:lang w:eastAsia="en-US"/>
        </w:rPr>
        <w:t>However it will become increasingly difficult to accurately measure the spurious emissions over the cabled connection to the DUT, given the limited frequency range of most PCB D</w:t>
      </w:r>
      <w:r w:rsidR="004353D1">
        <w:rPr>
          <w:lang w:eastAsia="en-US"/>
        </w:rPr>
        <w:t xml:space="preserve">UT connectors. </w:t>
      </w:r>
    </w:p>
    <w:p w14:paraId="1D7C93E9" w14:textId="6CDA66A1" w:rsidR="004353D1" w:rsidRPr="004353D1" w:rsidRDefault="004353D1" w:rsidP="00E9528C">
      <w:pPr>
        <w:rPr>
          <w:b/>
          <w:lang w:eastAsia="en-US"/>
        </w:rPr>
      </w:pPr>
      <w:r w:rsidRPr="00196262">
        <w:rPr>
          <w:b/>
          <w:lang w:eastAsia="en-US"/>
        </w:rPr>
        <w:t>Observation</w:t>
      </w:r>
      <w:r w:rsidR="008B563F">
        <w:rPr>
          <w:b/>
          <w:lang w:eastAsia="en-US"/>
        </w:rPr>
        <w:t xml:space="preserve"> 2</w:t>
      </w:r>
      <w:r w:rsidRPr="00196262">
        <w:rPr>
          <w:b/>
          <w:lang w:eastAsia="en-US"/>
        </w:rPr>
        <w:t xml:space="preserve">: </w:t>
      </w:r>
      <w:r>
        <w:rPr>
          <w:b/>
          <w:lang w:eastAsia="en-US"/>
        </w:rPr>
        <w:t>Taking the DUT antenna connectors into account, results at higher frequencies may become less and less accurate.</w:t>
      </w:r>
    </w:p>
    <w:p w14:paraId="23D5586B" w14:textId="10E131C9" w:rsidR="00DE5E87" w:rsidRPr="00196262" w:rsidRDefault="00DE5E87" w:rsidP="00E9528C">
      <w:pPr>
        <w:rPr>
          <w:lang w:eastAsia="en-US"/>
        </w:rPr>
      </w:pPr>
      <w:r>
        <w:rPr>
          <w:lang w:eastAsia="en-US"/>
        </w:rPr>
        <w:t>Taking these points into account</w:t>
      </w:r>
      <w:r w:rsidR="00492DC5">
        <w:rPr>
          <w:lang w:eastAsia="en-US"/>
        </w:rPr>
        <w:t xml:space="preserve"> it needs to be considered to limit the upper frequency for the spurious emission requirements to a certain value. In our view this limit should be given by the ITU-R recommendations and be at 26 GHz like in the general spurious emission case (see table 2).</w:t>
      </w:r>
    </w:p>
    <w:p w14:paraId="23F06D0E" w14:textId="44238922" w:rsidR="00196262" w:rsidRPr="00DB4317" w:rsidRDefault="00DB4317" w:rsidP="00E9528C">
      <w:pPr>
        <w:rPr>
          <w:b/>
          <w:lang w:eastAsia="en-US"/>
        </w:rPr>
      </w:pPr>
      <w:r w:rsidRPr="00DB4317">
        <w:rPr>
          <w:b/>
          <w:lang w:eastAsia="en-US"/>
        </w:rPr>
        <w:t xml:space="preserve">Proposal: No requirements for UE co-existence </w:t>
      </w:r>
      <w:r w:rsidR="00492DC5">
        <w:rPr>
          <w:b/>
          <w:lang w:eastAsia="en-US"/>
        </w:rPr>
        <w:t>are defined outside of the frequency range of the general spurious emission limits.</w:t>
      </w:r>
    </w:p>
    <w:bookmarkEnd w:id="1"/>
    <w:bookmarkEnd w:id="2"/>
    <w:p w14:paraId="6A30F3C3" w14:textId="29BAE3FE" w:rsidR="00EE0AC3" w:rsidRPr="00DE4417" w:rsidRDefault="00F71811" w:rsidP="00EE0AC3">
      <w:pPr>
        <w:pStyle w:val="berschrift1"/>
        <w:rPr>
          <w:rFonts w:cs="Arial"/>
        </w:rPr>
      </w:pPr>
      <w:r w:rsidRPr="00DE4417">
        <w:rPr>
          <w:rFonts w:cs="Arial"/>
        </w:rPr>
        <w:t>Proposals</w:t>
      </w:r>
    </w:p>
    <w:p w14:paraId="1BF0E911" w14:textId="4F799A64" w:rsidR="00824BF1" w:rsidRDefault="004353D1" w:rsidP="00824BF1">
      <w:pPr>
        <w:rPr>
          <w:lang w:val="en-GB" w:eastAsia="en-US"/>
        </w:rPr>
      </w:pPr>
      <w:bookmarkStart w:id="3" w:name="_Ref473660868"/>
      <w:bookmarkStart w:id="4" w:name="_Ref473660708"/>
      <w:bookmarkStart w:id="5" w:name="OLE_LINK6"/>
      <w:bookmarkStart w:id="6" w:name="OLE_LINK7"/>
      <w:r>
        <w:rPr>
          <w:lang w:val="en-GB" w:eastAsia="en-US"/>
        </w:rPr>
        <w:t>In this paper we discussed the upper frequency limit of the UE coexistence requirements, considering implementation aspects on the test system side and also taking into account the connection from the DUT to the test system.</w:t>
      </w:r>
    </w:p>
    <w:p w14:paraId="0724D5BC" w14:textId="73007392" w:rsidR="004353D1" w:rsidRDefault="008B563F" w:rsidP="00824BF1">
      <w:pPr>
        <w:rPr>
          <w:lang w:val="en-GB" w:eastAsia="en-US"/>
        </w:rPr>
      </w:pPr>
      <w:r>
        <w:rPr>
          <w:lang w:val="en-GB" w:eastAsia="en-US"/>
        </w:rPr>
        <w:t>We make the following observations and proposals.</w:t>
      </w:r>
    </w:p>
    <w:p w14:paraId="17300959" w14:textId="77777777" w:rsidR="008B563F" w:rsidRDefault="008B563F" w:rsidP="008B563F">
      <w:pPr>
        <w:rPr>
          <w:b/>
          <w:lang w:eastAsia="en-US"/>
        </w:rPr>
      </w:pPr>
      <w:r w:rsidRPr="00196262">
        <w:rPr>
          <w:b/>
          <w:lang w:eastAsia="en-US"/>
        </w:rPr>
        <w:t>Observation</w:t>
      </w:r>
      <w:r>
        <w:rPr>
          <w:b/>
          <w:lang w:eastAsia="en-US"/>
        </w:rPr>
        <w:t xml:space="preserve"> 1</w:t>
      </w:r>
      <w:r w:rsidRPr="00196262">
        <w:rPr>
          <w:b/>
          <w:lang w:eastAsia="en-US"/>
        </w:rPr>
        <w:t>: Increasing the test frequency of the spurious emission requirements impacts other TCs as well.</w:t>
      </w:r>
    </w:p>
    <w:p w14:paraId="4CA25CB8" w14:textId="77777777" w:rsidR="008B563F" w:rsidRPr="004353D1" w:rsidRDefault="008B563F" w:rsidP="008B563F">
      <w:pPr>
        <w:rPr>
          <w:b/>
          <w:lang w:eastAsia="en-US"/>
        </w:rPr>
      </w:pPr>
      <w:r w:rsidRPr="00196262">
        <w:rPr>
          <w:b/>
          <w:lang w:eastAsia="en-US"/>
        </w:rPr>
        <w:t>Observation</w:t>
      </w:r>
      <w:r>
        <w:rPr>
          <w:b/>
          <w:lang w:eastAsia="en-US"/>
        </w:rPr>
        <w:t xml:space="preserve"> 2</w:t>
      </w:r>
      <w:r w:rsidRPr="00196262">
        <w:rPr>
          <w:b/>
          <w:lang w:eastAsia="en-US"/>
        </w:rPr>
        <w:t xml:space="preserve">: </w:t>
      </w:r>
      <w:r>
        <w:rPr>
          <w:b/>
          <w:lang w:eastAsia="en-US"/>
        </w:rPr>
        <w:t>Taking the DUT antenna connectors into account, results at higher frequencies may become less and less accurate.</w:t>
      </w:r>
    </w:p>
    <w:p w14:paraId="735EA9F6" w14:textId="70AE64E2" w:rsidR="008B563F" w:rsidRPr="008B563F" w:rsidRDefault="008B563F" w:rsidP="00824BF1">
      <w:pPr>
        <w:rPr>
          <w:b/>
          <w:lang w:eastAsia="en-US"/>
        </w:rPr>
      </w:pPr>
      <w:r w:rsidRPr="00DB4317">
        <w:rPr>
          <w:b/>
          <w:lang w:eastAsia="en-US"/>
        </w:rPr>
        <w:t xml:space="preserve">Proposal: No requirements for UE co-existence </w:t>
      </w:r>
      <w:r>
        <w:rPr>
          <w:b/>
          <w:lang w:eastAsia="en-US"/>
        </w:rPr>
        <w:t>are defined outside of the frequency range of the general spurious emission limits.</w:t>
      </w:r>
    </w:p>
    <w:p w14:paraId="1559997D" w14:textId="51D81406" w:rsidR="00030A7F" w:rsidRPr="00DE4417" w:rsidRDefault="00030A7F" w:rsidP="00030A7F">
      <w:pPr>
        <w:pStyle w:val="berschrift1"/>
        <w:numPr>
          <w:ilvl w:val="0"/>
          <w:numId w:val="0"/>
        </w:numPr>
        <w:ind w:left="432" w:hanging="432"/>
        <w:rPr>
          <w:rFonts w:cs="Arial"/>
        </w:rPr>
      </w:pPr>
      <w:r w:rsidRPr="00DE4417">
        <w:rPr>
          <w:rFonts w:cs="Arial"/>
        </w:rPr>
        <w:lastRenderedPageBreak/>
        <w:t>References</w:t>
      </w:r>
    </w:p>
    <w:bookmarkEnd w:id="3"/>
    <w:bookmarkEnd w:id="4"/>
    <w:bookmarkEnd w:id="5"/>
    <w:bookmarkEnd w:id="6"/>
    <w:p w14:paraId="296212CC" w14:textId="1685CDA1" w:rsidR="00824BF1" w:rsidRPr="00257FD8" w:rsidRDefault="00196262" w:rsidP="00824BF1">
      <w:pPr>
        <w:pStyle w:val="Listenabsatz"/>
        <w:numPr>
          <w:ilvl w:val="0"/>
          <w:numId w:val="46"/>
        </w:numPr>
        <w:spacing w:after="0" w:line="240" w:lineRule="auto"/>
        <w:rPr>
          <w:lang w:val="en-GB"/>
        </w:rPr>
      </w:pPr>
      <w:r>
        <w:rPr>
          <w:lang w:val="en-GB"/>
        </w:rPr>
        <w:t>TS 38.101-1 v.15.2.0</w:t>
      </w:r>
    </w:p>
    <w:p w14:paraId="3F053A66" w14:textId="35B22E62" w:rsidR="001B137F" w:rsidRPr="00196262" w:rsidRDefault="00196262" w:rsidP="00196262">
      <w:pPr>
        <w:pStyle w:val="Listenabsatz"/>
        <w:numPr>
          <w:ilvl w:val="0"/>
          <w:numId w:val="46"/>
        </w:numPr>
        <w:spacing w:after="0" w:line="240" w:lineRule="auto"/>
        <w:rPr>
          <w:lang w:val="en-GB"/>
        </w:rPr>
      </w:pPr>
      <w:r>
        <w:t>ITU-R SM.329-12</w:t>
      </w:r>
    </w:p>
    <w:p w14:paraId="0FAA4151" w14:textId="06B7CA50" w:rsidR="00196262" w:rsidRPr="00257FD8" w:rsidRDefault="00196262" w:rsidP="00196262">
      <w:pPr>
        <w:pStyle w:val="Listenabsatz"/>
        <w:numPr>
          <w:ilvl w:val="0"/>
          <w:numId w:val="46"/>
        </w:numPr>
        <w:spacing w:after="0" w:line="240" w:lineRule="auto"/>
        <w:rPr>
          <w:lang w:val="en-GB"/>
        </w:rPr>
      </w:pPr>
      <w:r>
        <w:t>TS 38.101-2 v.15.2.0</w:t>
      </w:r>
    </w:p>
    <w:sectPr w:rsidR="00196262" w:rsidRPr="00257FD8"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F677B4" w14:textId="77777777" w:rsidR="00C672BE" w:rsidRDefault="00C672BE" w:rsidP="00371D7D">
      <w:r>
        <w:separator/>
      </w:r>
    </w:p>
  </w:endnote>
  <w:endnote w:type="continuationSeparator" w:id="0">
    <w:p w14:paraId="6D493E96" w14:textId="77777777" w:rsidR="00C672BE" w:rsidRDefault="00C672BE"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D011FC" w:rsidRDefault="00D011F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6C61ECF1" w:rsidR="00D011FC" w:rsidRPr="000E7B1E" w:rsidRDefault="00D011FC"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17632C">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D011FC" w:rsidRDefault="00D011F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5E3AA" w14:textId="77777777" w:rsidR="00C672BE" w:rsidRDefault="00C672BE" w:rsidP="00371D7D">
      <w:r>
        <w:separator/>
      </w:r>
    </w:p>
  </w:footnote>
  <w:footnote w:type="continuationSeparator" w:id="0">
    <w:p w14:paraId="0DE04AA4" w14:textId="77777777" w:rsidR="00C672BE" w:rsidRDefault="00C672BE"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D011FC" w:rsidRDefault="00D011F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D011FC" w:rsidRDefault="00D011F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D011FC" w:rsidRDefault="00D011F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5"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6"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9"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3"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13"/>
  </w:num>
  <w:num w:numId="3">
    <w:abstractNumId w:val="18"/>
  </w:num>
  <w:num w:numId="4">
    <w:abstractNumId w:val="30"/>
  </w:num>
  <w:num w:numId="5">
    <w:abstractNumId w:val="18"/>
  </w:num>
  <w:num w:numId="6">
    <w:abstractNumId w:val="18"/>
  </w:num>
  <w:num w:numId="7">
    <w:abstractNumId w:val="18"/>
  </w:num>
  <w:num w:numId="8">
    <w:abstractNumId w:val="18"/>
  </w:num>
  <w:num w:numId="9">
    <w:abstractNumId w:val="17"/>
  </w:num>
  <w:num w:numId="10">
    <w:abstractNumId w:val="19"/>
  </w:num>
  <w:num w:numId="11">
    <w:abstractNumId w:val="16"/>
  </w:num>
  <w:num w:numId="12">
    <w:abstractNumId w:val="15"/>
  </w:num>
  <w:num w:numId="13">
    <w:abstractNumId w:val="33"/>
  </w:num>
  <w:num w:numId="14">
    <w:abstractNumId w:val="18"/>
  </w:num>
  <w:num w:numId="15">
    <w:abstractNumId w:val="26"/>
  </w:num>
  <w:num w:numId="16">
    <w:abstractNumId w:val="12"/>
  </w:num>
  <w:num w:numId="17">
    <w:abstractNumId w:val="9"/>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31"/>
  </w:num>
  <w:num w:numId="23">
    <w:abstractNumId w:val="18"/>
  </w:num>
  <w:num w:numId="24">
    <w:abstractNumId w:val="10"/>
  </w:num>
  <w:num w:numId="25">
    <w:abstractNumId w:val="11"/>
  </w:num>
  <w:num w:numId="26">
    <w:abstractNumId w:val="18"/>
  </w:num>
  <w:num w:numId="27">
    <w:abstractNumId w:val="20"/>
  </w:num>
  <w:num w:numId="28">
    <w:abstractNumId w:val="3"/>
  </w:num>
  <w:num w:numId="29">
    <w:abstractNumId w:val="24"/>
  </w:num>
  <w:num w:numId="30">
    <w:abstractNumId w:val="29"/>
  </w:num>
  <w:num w:numId="31">
    <w:abstractNumId w:val="28"/>
  </w:num>
  <w:num w:numId="32">
    <w:abstractNumId w:val="7"/>
  </w:num>
  <w:num w:numId="33">
    <w:abstractNumId w:val="35"/>
  </w:num>
  <w:num w:numId="34">
    <w:abstractNumId w:val="2"/>
  </w:num>
  <w:num w:numId="35">
    <w:abstractNumId w:val="14"/>
  </w:num>
  <w:num w:numId="36">
    <w:abstractNumId w:val="27"/>
  </w:num>
  <w:num w:numId="37">
    <w:abstractNumId w:val="22"/>
  </w:num>
  <w:num w:numId="38">
    <w:abstractNumId w:val="34"/>
  </w:num>
  <w:num w:numId="39">
    <w:abstractNumId w:val="25"/>
  </w:num>
  <w:num w:numId="40">
    <w:abstractNumId w:val="32"/>
  </w:num>
  <w:num w:numId="41">
    <w:abstractNumId w:val="23"/>
  </w:num>
  <w:num w:numId="42">
    <w:abstractNumId w:val="18"/>
  </w:num>
  <w:num w:numId="43">
    <w:abstractNumId w:val="18"/>
  </w:num>
  <w:num w:numId="44">
    <w:abstractNumId w:val="1"/>
  </w:num>
  <w:num w:numId="45">
    <w:abstractNumId w:val="6"/>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BDA"/>
    <w:rsid w:val="00047E75"/>
    <w:rsid w:val="0006221F"/>
    <w:rsid w:val="00063C4D"/>
    <w:rsid w:val="000652BE"/>
    <w:rsid w:val="0006555A"/>
    <w:rsid w:val="00072CF5"/>
    <w:rsid w:val="00075135"/>
    <w:rsid w:val="000762B7"/>
    <w:rsid w:val="00076F79"/>
    <w:rsid w:val="000814E4"/>
    <w:rsid w:val="00081C35"/>
    <w:rsid w:val="000828B5"/>
    <w:rsid w:val="00082A5B"/>
    <w:rsid w:val="00092C97"/>
    <w:rsid w:val="00096AAF"/>
    <w:rsid w:val="000A0514"/>
    <w:rsid w:val="000A24CE"/>
    <w:rsid w:val="000A262C"/>
    <w:rsid w:val="000A2FB0"/>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75B0"/>
    <w:rsid w:val="000E7B1E"/>
    <w:rsid w:val="000F2169"/>
    <w:rsid w:val="00100D39"/>
    <w:rsid w:val="0010446A"/>
    <w:rsid w:val="0010792C"/>
    <w:rsid w:val="00110B13"/>
    <w:rsid w:val="001114C1"/>
    <w:rsid w:val="00112164"/>
    <w:rsid w:val="001137DA"/>
    <w:rsid w:val="0011436A"/>
    <w:rsid w:val="001147B0"/>
    <w:rsid w:val="00114995"/>
    <w:rsid w:val="00116DFF"/>
    <w:rsid w:val="001178F0"/>
    <w:rsid w:val="001179E4"/>
    <w:rsid w:val="00117F9C"/>
    <w:rsid w:val="00123745"/>
    <w:rsid w:val="00126CE6"/>
    <w:rsid w:val="00131C14"/>
    <w:rsid w:val="00132BDD"/>
    <w:rsid w:val="001339FF"/>
    <w:rsid w:val="001378A7"/>
    <w:rsid w:val="0015068F"/>
    <w:rsid w:val="001530C0"/>
    <w:rsid w:val="00153604"/>
    <w:rsid w:val="001553DE"/>
    <w:rsid w:val="0015692F"/>
    <w:rsid w:val="0016379A"/>
    <w:rsid w:val="00164040"/>
    <w:rsid w:val="00166A43"/>
    <w:rsid w:val="00167CAD"/>
    <w:rsid w:val="00167FB4"/>
    <w:rsid w:val="0017275D"/>
    <w:rsid w:val="00172D17"/>
    <w:rsid w:val="001747B0"/>
    <w:rsid w:val="00174ED5"/>
    <w:rsid w:val="0017632C"/>
    <w:rsid w:val="00176658"/>
    <w:rsid w:val="00176791"/>
    <w:rsid w:val="00180494"/>
    <w:rsid w:val="001810A2"/>
    <w:rsid w:val="00184003"/>
    <w:rsid w:val="00193A32"/>
    <w:rsid w:val="00196262"/>
    <w:rsid w:val="001A042A"/>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D7A71"/>
    <w:rsid w:val="001E0A0B"/>
    <w:rsid w:val="001E190C"/>
    <w:rsid w:val="001E540B"/>
    <w:rsid w:val="001E5776"/>
    <w:rsid w:val="001E73BE"/>
    <w:rsid w:val="001E7B76"/>
    <w:rsid w:val="001F0673"/>
    <w:rsid w:val="001F4112"/>
    <w:rsid w:val="001F4E39"/>
    <w:rsid w:val="001F5452"/>
    <w:rsid w:val="001F6CC0"/>
    <w:rsid w:val="00206F1C"/>
    <w:rsid w:val="002101B8"/>
    <w:rsid w:val="00210BB9"/>
    <w:rsid w:val="002119D0"/>
    <w:rsid w:val="00211B0D"/>
    <w:rsid w:val="00215CC4"/>
    <w:rsid w:val="00216449"/>
    <w:rsid w:val="00216986"/>
    <w:rsid w:val="00216A6B"/>
    <w:rsid w:val="00220316"/>
    <w:rsid w:val="0022150D"/>
    <w:rsid w:val="002225C4"/>
    <w:rsid w:val="00224203"/>
    <w:rsid w:val="0022473C"/>
    <w:rsid w:val="002265E1"/>
    <w:rsid w:val="00226E95"/>
    <w:rsid w:val="00227D50"/>
    <w:rsid w:val="0023375F"/>
    <w:rsid w:val="00234DAE"/>
    <w:rsid w:val="002363CC"/>
    <w:rsid w:val="00237EE7"/>
    <w:rsid w:val="00240D2A"/>
    <w:rsid w:val="002415D9"/>
    <w:rsid w:val="00242A1D"/>
    <w:rsid w:val="0024490F"/>
    <w:rsid w:val="0024790C"/>
    <w:rsid w:val="0025085A"/>
    <w:rsid w:val="00251FDB"/>
    <w:rsid w:val="00252AE0"/>
    <w:rsid w:val="002548E2"/>
    <w:rsid w:val="00255A8A"/>
    <w:rsid w:val="00257FD8"/>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1517"/>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D69"/>
    <w:rsid w:val="003344C4"/>
    <w:rsid w:val="00334F04"/>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A16D1"/>
    <w:rsid w:val="003A1A60"/>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16A8"/>
    <w:rsid w:val="003D51E6"/>
    <w:rsid w:val="003D602B"/>
    <w:rsid w:val="003D7784"/>
    <w:rsid w:val="003D7B2C"/>
    <w:rsid w:val="003E12B0"/>
    <w:rsid w:val="003E1A65"/>
    <w:rsid w:val="003E2565"/>
    <w:rsid w:val="003E5779"/>
    <w:rsid w:val="003F0E6E"/>
    <w:rsid w:val="003F1A78"/>
    <w:rsid w:val="003F426A"/>
    <w:rsid w:val="004002C9"/>
    <w:rsid w:val="004033E9"/>
    <w:rsid w:val="00411EE3"/>
    <w:rsid w:val="004120AE"/>
    <w:rsid w:val="004137F2"/>
    <w:rsid w:val="004149E9"/>
    <w:rsid w:val="00420D58"/>
    <w:rsid w:val="00423201"/>
    <w:rsid w:val="004257E2"/>
    <w:rsid w:val="0043036D"/>
    <w:rsid w:val="004324FB"/>
    <w:rsid w:val="004325A5"/>
    <w:rsid w:val="004340EB"/>
    <w:rsid w:val="00434839"/>
    <w:rsid w:val="004353D1"/>
    <w:rsid w:val="004372AD"/>
    <w:rsid w:val="00442027"/>
    <w:rsid w:val="00445FD4"/>
    <w:rsid w:val="00446661"/>
    <w:rsid w:val="00451093"/>
    <w:rsid w:val="00452D55"/>
    <w:rsid w:val="00455988"/>
    <w:rsid w:val="00457EE8"/>
    <w:rsid w:val="00460804"/>
    <w:rsid w:val="004614C5"/>
    <w:rsid w:val="0046181B"/>
    <w:rsid w:val="0046280F"/>
    <w:rsid w:val="004641CE"/>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C0EA3"/>
    <w:rsid w:val="004C6EB0"/>
    <w:rsid w:val="004D2DCF"/>
    <w:rsid w:val="004D3C05"/>
    <w:rsid w:val="004D54FF"/>
    <w:rsid w:val="004D74F3"/>
    <w:rsid w:val="004E1ED2"/>
    <w:rsid w:val="004E2925"/>
    <w:rsid w:val="004E3358"/>
    <w:rsid w:val="004E3BCC"/>
    <w:rsid w:val="004E4907"/>
    <w:rsid w:val="004F0412"/>
    <w:rsid w:val="004F17EE"/>
    <w:rsid w:val="004F27A7"/>
    <w:rsid w:val="004F36A7"/>
    <w:rsid w:val="004F4D21"/>
    <w:rsid w:val="004F593F"/>
    <w:rsid w:val="004F697D"/>
    <w:rsid w:val="00502740"/>
    <w:rsid w:val="00502B4D"/>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1E93"/>
    <w:rsid w:val="005823BA"/>
    <w:rsid w:val="00583905"/>
    <w:rsid w:val="00586465"/>
    <w:rsid w:val="00590023"/>
    <w:rsid w:val="00590497"/>
    <w:rsid w:val="00594B54"/>
    <w:rsid w:val="005964E4"/>
    <w:rsid w:val="005A04AB"/>
    <w:rsid w:val="005A3BC6"/>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78B"/>
    <w:rsid w:val="006F1D3A"/>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31B27"/>
    <w:rsid w:val="007327DA"/>
    <w:rsid w:val="00733D87"/>
    <w:rsid w:val="00735D1F"/>
    <w:rsid w:val="0073610E"/>
    <w:rsid w:val="00736A55"/>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4D3E"/>
    <w:rsid w:val="008064E5"/>
    <w:rsid w:val="00811A7C"/>
    <w:rsid w:val="00814716"/>
    <w:rsid w:val="00815718"/>
    <w:rsid w:val="008159B1"/>
    <w:rsid w:val="008211B6"/>
    <w:rsid w:val="00821667"/>
    <w:rsid w:val="008222DF"/>
    <w:rsid w:val="00824BF1"/>
    <w:rsid w:val="00825E45"/>
    <w:rsid w:val="00831E58"/>
    <w:rsid w:val="0083554F"/>
    <w:rsid w:val="00836315"/>
    <w:rsid w:val="00837DB8"/>
    <w:rsid w:val="00844428"/>
    <w:rsid w:val="00846CB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B0514"/>
    <w:rsid w:val="008B12D0"/>
    <w:rsid w:val="008B3E44"/>
    <w:rsid w:val="008B4257"/>
    <w:rsid w:val="008B563F"/>
    <w:rsid w:val="008B7827"/>
    <w:rsid w:val="008B7853"/>
    <w:rsid w:val="008C2395"/>
    <w:rsid w:val="008C291E"/>
    <w:rsid w:val="008C2C73"/>
    <w:rsid w:val="008C77C6"/>
    <w:rsid w:val="008D0A86"/>
    <w:rsid w:val="008D2D94"/>
    <w:rsid w:val="008D49FB"/>
    <w:rsid w:val="008D552A"/>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FD9"/>
    <w:rsid w:val="00912CC8"/>
    <w:rsid w:val="00914141"/>
    <w:rsid w:val="00916784"/>
    <w:rsid w:val="00916934"/>
    <w:rsid w:val="009228BE"/>
    <w:rsid w:val="009247D4"/>
    <w:rsid w:val="00930456"/>
    <w:rsid w:val="00931A88"/>
    <w:rsid w:val="0093237D"/>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62E59"/>
    <w:rsid w:val="00965D58"/>
    <w:rsid w:val="00966E9B"/>
    <w:rsid w:val="009750F0"/>
    <w:rsid w:val="0097543A"/>
    <w:rsid w:val="00975F20"/>
    <w:rsid w:val="00976B03"/>
    <w:rsid w:val="00984C8B"/>
    <w:rsid w:val="009863CE"/>
    <w:rsid w:val="00987740"/>
    <w:rsid w:val="009879A0"/>
    <w:rsid w:val="00987C1F"/>
    <w:rsid w:val="009926B6"/>
    <w:rsid w:val="0099496E"/>
    <w:rsid w:val="00997680"/>
    <w:rsid w:val="009A1270"/>
    <w:rsid w:val="009B1044"/>
    <w:rsid w:val="009C0CB9"/>
    <w:rsid w:val="009C2950"/>
    <w:rsid w:val="009C51E1"/>
    <w:rsid w:val="009C536C"/>
    <w:rsid w:val="009C5C15"/>
    <w:rsid w:val="009C605F"/>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783"/>
    <w:rsid w:val="00A14EBC"/>
    <w:rsid w:val="00A15983"/>
    <w:rsid w:val="00A24150"/>
    <w:rsid w:val="00A32070"/>
    <w:rsid w:val="00A33D3A"/>
    <w:rsid w:val="00A353DC"/>
    <w:rsid w:val="00A36515"/>
    <w:rsid w:val="00A40BA0"/>
    <w:rsid w:val="00A42596"/>
    <w:rsid w:val="00A43DCF"/>
    <w:rsid w:val="00A44C02"/>
    <w:rsid w:val="00A4537F"/>
    <w:rsid w:val="00A55AF2"/>
    <w:rsid w:val="00A57C7C"/>
    <w:rsid w:val="00A60934"/>
    <w:rsid w:val="00A62362"/>
    <w:rsid w:val="00A63A28"/>
    <w:rsid w:val="00A64C86"/>
    <w:rsid w:val="00A67985"/>
    <w:rsid w:val="00A6798F"/>
    <w:rsid w:val="00A7325E"/>
    <w:rsid w:val="00A76DBE"/>
    <w:rsid w:val="00A777EC"/>
    <w:rsid w:val="00A8311E"/>
    <w:rsid w:val="00A86604"/>
    <w:rsid w:val="00A86B80"/>
    <w:rsid w:val="00A87C7B"/>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068E"/>
    <w:rsid w:val="00AE18A0"/>
    <w:rsid w:val="00AE376A"/>
    <w:rsid w:val="00AE4566"/>
    <w:rsid w:val="00AF0048"/>
    <w:rsid w:val="00AF4D77"/>
    <w:rsid w:val="00AF60AE"/>
    <w:rsid w:val="00AF6DBB"/>
    <w:rsid w:val="00B050D3"/>
    <w:rsid w:val="00B05ACB"/>
    <w:rsid w:val="00B05B25"/>
    <w:rsid w:val="00B11E41"/>
    <w:rsid w:val="00B13078"/>
    <w:rsid w:val="00B130F2"/>
    <w:rsid w:val="00B1538B"/>
    <w:rsid w:val="00B1788D"/>
    <w:rsid w:val="00B206F3"/>
    <w:rsid w:val="00B20B88"/>
    <w:rsid w:val="00B2126A"/>
    <w:rsid w:val="00B240D0"/>
    <w:rsid w:val="00B277E9"/>
    <w:rsid w:val="00B27923"/>
    <w:rsid w:val="00B30F45"/>
    <w:rsid w:val="00B319AF"/>
    <w:rsid w:val="00B31F06"/>
    <w:rsid w:val="00B32A3F"/>
    <w:rsid w:val="00B337D5"/>
    <w:rsid w:val="00B35629"/>
    <w:rsid w:val="00B37C19"/>
    <w:rsid w:val="00B413A7"/>
    <w:rsid w:val="00B42131"/>
    <w:rsid w:val="00B50A51"/>
    <w:rsid w:val="00B548F0"/>
    <w:rsid w:val="00B57132"/>
    <w:rsid w:val="00B57FE5"/>
    <w:rsid w:val="00B60110"/>
    <w:rsid w:val="00B61206"/>
    <w:rsid w:val="00B618F7"/>
    <w:rsid w:val="00B65660"/>
    <w:rsid w:val="00B65E1E"/>
    <w:rsid w:val="00B67FA8"/>
    <w:rsid w:val="00B73093"/>
    <w:rsid w:val="00B745CC"/>
    <w:rsid w:val="00B75570"/>
    <w:rsid w:val="00B757DF"/>
    <w:rsid w:val="00B77425"/>
    <w:rsid w:val="00B8042F"/>
    <w:rsid w:val="00B80FDD"/>
    <w:rsid w:val="00B81E4C"/>
    <w:rsid w:val="00B81FC7"/>
    <w:rsid w:val="00B8385A"/>
    <w:rsid w:val="00B838DA"/>
    <w:rsid w:val="00B846F3"/>
    <w:rsid w:val="00B92991"/>
    <w:rsid w:val="00B92F4B"/>
    <w:rsid w:val="00B96064"/>
    <w:rsid w:val="00B9692F"/>
    <w:rsid w:val="00B97827"/>
    <w:rsid w:val="00BA1072"/>
    <w:rsid w:val="00BB0FAA"/>
    <w:rsid w:val="00BB1E78"/>
    <w:rsid w:val="00BB2028"/>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37D91"/>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65B6"/>
    <w:rsid w:val="00C66AEC"/>
    <w:rsid w:val="00C672BE"/>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2954"/>
    <w:rsid w:val="00CA42E6"/>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2AA0"/>
    <w:rsid w:val="00CE6A12"/>
    <w:rsid w:val="00CE7B33"/>
    <w:rsid w:val="00CF23C9"/>
    <w:rsid w:val="00CF3ECE"/>
    <w:rsid w:val="00CF41D2"/>
    <w:rsid w:val="00D0035A"/>
    <w:rsid w:val="00D00B3C"/>
    <w:rsid w:val="00D011FC"/>
    <w:rsid w:val="00D04FCA"/>
    <w:rsid w:val="00D05BE4"/>
    <w:rsid w:val="00D071B9"/>
    <w:rsid w:val="00D121AD"/>
    <w:rsid w:val="00D132ED"/>
    <w:rsid w:val="00D15EF0"/>
    <w:rsid w:val="00D16982"/>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512B6"/>
    <w:rsid w:val="00D52C2F"/>
    <w:rsid w:val="00D60B40"/>
    <w:rsid w:val="00D6276B"/>
    <w:rsid w:val="00D63D63"/>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4FF"/>
    <w:rsid w:val="00DE1186"/>
    <w:rsid w:val="00DE3025"/>
    <w:rsid w:val="00DE4417"/>
    <w:rsid w:val="00DE4E25"/>
    <w:rsid w:val="00DE5E87"/>
    <w:rsid w:val="00DE6819"/>
    <w:rsid w:val="00DF19E8"/>
    <w:rsid w:val="00E03811"/>
    <w:rsid w:val="00E03F84"/>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617F3"/>
    <w:rsid w:val="00E61903"/>
    <w:rsid w:val="00E66596"/>
    <w:rsid w:val="00E72F0A"/>
    <w:rsid w:val="00E735F1"/>
    <w:rsid w:val="00E736DC"/>
    <w:rsid w:val="00E740C8"/>
    <w:rsid w:val="00E74332"/>
    <w:rsid w:val="00E74BB0"/>
    <w:rsid w:val="00E74BBE"/>
    <w:rsid w:val="00E76211"/>
    <w:rsid w:val="00E762B1"/>
    <w:rsid w:val="00E80403"/>
    <w:rsid w:val="00E80CFB"/>
    <w:rsid w:val="00E8179E"/>
    <w:rsid w:val="00E84BDC"/>
    <w:rsid w:val="00E8563B"/>
    <w:rsid w:val="00E86372"/>
    <w:rsid w:val="00E910A0"/>
    <w:rsid w:val="00E925DB"/>
    <w:rsid w:val="00E92C72"/>
    <w:rsid w:val="00E932CE"/>
    <w:rsid w:val="00E94563"/>
    <w:rsid w:val="00E9528C"/>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533B"/>
    <w:rsid w:val="00ED5892"/>
    <w:rsid w:val="00EE0AC3"/>
    <w:rsid w:val="00EE17A9"/>
    <w:rsid w:val="00EE17D7"/>
    <w:rsid w:val="00EE33CE"/>
    <w:rsid w:val="00EE42C5"/>
    <w:rsid w:val="00EE4801"/>
    <w:rsid w:val="00EE49E6"/>
    <w:rsid w:val="00EE555F"/>
    <w:rsid w:val="00EE6715"/>
    <w:rsid w:val="00EF0BCA"/>
    <w:rsid w:val="00EF1BF6"/>
    <w:rsid w:val="00EF7949"/>
    <w:rsid w:val="00F012A7"/>
    <w:rsid w:val="00F02B93"/>
    <w:rsid w:val="00F0327E"/>
    <w:rsid w:val="00F06974"/>
    <w:rsid w:val="00F07012"/>
    <w:rsid w:val="00F0740A"/>
    <w:rsid w:val="00F12AF0"/>
    <w:rsid w:val="00F222B3"/>
    <w:rsid w:val="00F2354A"/>
    <w:rsid w:val="00F23C22"/>
    <w:rsid w:val="00F24631"/>
    <w:rsid w:val="00F254A4"/>
    <w:rsid w:val="00F25CC5"/>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1AA3"/>
    <w:rsid w:val="00FC26EF"/>
    <w:rsid w:val="00FC27B2"/>
    <w:rsid w:val="00FC27FA"/>
    <w:rsid w:val="00FC45FA"/>
    <w:rsid w:val="00FC50C3"/>
    <w:rsid w:val="00FC5257"/>
    <w:rsid w:val="00FC5279"/>
    <w:rsid w:val="00FC6386"/>
    <w:rsid w:val="00FD35F8"/>
    <w:rsid w:val="00FD3753"/>
    <w:rsid w:val="00FD64B7"/>
    <w:rsid w:val="00FD6C8C"/>
    <w:rsid w:val="00FE1AEC"/>
    <w:rsid w:val="00FE3C99"/>
    <w:rsid w:val="00FE73F2"/>
    <w:rsid w:val="00FF013C"/>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81CACEA-4F21-4166-A68F-159B397AC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8898A-28CA-44A3-91A1-2DD55F4E4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934</Words>
  <Characters>5887</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Rohde &amp; Schwarz</cp:lastModifiedBy>
  <cp:revision>8</cp:revision>
  <cp:lastPrinted>2018-08-10T06:24:00Z</cp:lastPrinted>
  <dcterms:created xsi:type="dcterms:W3CDTF">2018-08-10T07:09:00Z</dcterms:created>
  <dcterms:modified xsi:type="dcterms:W3CDTF">2018-08-10T14:02:00Z</dcterms:modified>
  <cp:category/>
</cp:coreProperties>
</file>